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0F4" w:rsidRPr="00E31458" w:rsidRDefault="005460F4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C6424E" w:rsidRPr="00E90306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E31458">
        <w:rPr>
          <w:rFonts w:ascii="Times New Roman" w:hAnsi="Times New Roman"/>
          <w:b/>
          <w:bCs/>
          <w:sz w:val="20"/>
          <w:szCs w:val="20"/>
        </w:rPr>
        <w:t>Протокол итогов</w:t>
      </w:r>
      <w:r w:rsidR="00777E8F" w:rsidRPr="00E3145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31458">
        <w:rPr>
          <w:rFonts w:ascii="Times New Roman" w:hAnsi="Times New Roman"/>
          <w:b/>
          <w:bCs/>
          <w:sz w:val="20"/>
          <w:szCs w:val="20"/>
        </w:rPr>
        <w:t>№</w:t>
      </w:r>
      <w:r w:rsidR="00815A94" w:rsidRPr="00E90306">
        <w:rPr>
          <w:rFonts w:ascii="Times New Roman" w:hAnsi="Times New Roman"/>
          <w:b/>
          <w:bCs/>
          <w:sz w:val="20"/>
          <w:szCs w:val="20"/>
        </w:rPr>
        <w:t>9</w:t>
      </w:r>
    </w:p>
    <w:p w:rsidR="00C6424E" w:rsidRPr="00E31458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E31458">
        <w:rPr>
          <w:rFonts w:ascii="Times New Roman" w:hAnsi="Times New Roman"/>
          <w:b/>
          <w:bCs/>
          <w:sz w:val="20"/>
          <w:szCs w:val="20"/>
        </w:rPr>
        <w:t>по итогам закупа товаров способом запроса ценовых предложений</w:t>
      </w:r>
    </w:p>
    <w:p w:rsidR="00C6424E" w:rsidRPr="00E31458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C6424E" w:rsidRPr="00E31458" w:rsidRDefault="00C6424E" w:rsidP="00C6424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E31458">
        <w:rPr>
          <w:rFonts w:ascii="Times New Roman" w:hAnsi="Times New Roman"/>
          <w:b/>
          <w:bCs/>
          <w:sz w:val="20"/>
          <w:szCs w:val="20"/>
        </w:rPr>
        <w:t xml:space="preserve">г. </w:t>
      </w:r>
      <w:r w:rsidR="0074058C" w:rsidRPr="00E31458">
        <w:rPr>
          <w:rFonts w:ascii="Times New Roman" w:hAnsi="Times New Roman"/>
          <w:b/>
          <w:bCs/>
          <w:sz w:val="20"/>
          <w:szCs w:val="20"/>
        </w:rPr>
        <w:t>Астана</w:t>
      </w:r>
      <w:r w:rsidRPr="00E31458">
        <w:rPr>
          <w:rFonts w:ascii="Times New Roman" w:hAnsi="Times New Roman"/>
          <w:b/>
          <w:bCs/>
          <w:sz w:val="20"/>
          <w:szCs w:val="20"/>
        </w:rPr>
        <w:t xml:space="preserve">              </w:t>
      </w:r>
      <w:r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</w:t>
      </w:r>
      <w:r w:rsidR="000E5E81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       </w:t>
      </w:r>
      <w:r w:rsidR="00BF47A5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    </w:t>
      </w:r>
      <w:r w:rsidR="005F6645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    </w:t>
      </w:r>
      <w:r w:rsidR="00953604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                       </w:t>
      </w:r>
      <w:r w:rsid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                         </w:t>
      </w:r>
      <w:r w:rsidR="00953604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="005F6645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="00C123F4" w:rsidRPr="00E31458">
        <w:rPr>
          <w:rFonts w:ascii="Times New Roman" w:hAnsi="Times New Roman"/>
          <w:b/>
          <w:bCs/>
          <w:sz w:val="20"/>
          <w:szCs w:val="20"/>
          <w:lang w:val="kk-KZ"/>
        </w:rPr>
        <w:t>«</w:t>
      </w:r>
      <w:r w:rsidR="00815A94" w:rsidRPr="00E90306">
        <w:rPr>
          <w:rFonts w:ascii="Times New Roman" w:hAnsi="Times New Roman"/>
          <w:b/>
          <w:bCs/>
          <w:sz w:val="20"/>
          <w:szCs w:val="20"/>
        </w:rPr>
        <w:t>27</w:t>
      </w:r>
      <w:r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» </w:t>
      </w:r>
      <w:r w:rsidR="004C0ECC" w:rsidRPr="00E31458">
        <w:rPr>
          <w:rFonts w:ascii="Times New Roman" w:hAnsi="Times New Roman"/>
          <w:b/>
          <w:bCs/>
          <w:sz w:val="20"/>
          <w:szCs w:val="20"/>
          <w:lang w:val="kk-KZ"/>
        </w:rPr>
        <w:t>января</w:t>
      </w:r>
      <w:r w:rsidR="001F1C79"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Pr="00E31458">
        <w:rPr>
          <w:rFonts w:ascii="Times New Roman" w:hAnsi="Times New Roman"/>
          <w:b/>
          <w:bCs/>
          <w:sz w:val="20"/>
          <w:szCs w:val="20"/>
        </w:rPr>
        <w:t>20</w:t>
      </w:r>
      <w:r w:rsidR="007B5AD6" w:rsidRPr="00E31458">
        <w:rPr>
          <w:rFonts w:ascii="Times New Roman" w:hAnsi="Times New Roman"/>
          <w:b/>
          <w:bCs/>
          <w:sz w:val="20"/>
          <w:szCs w:val="20"/>
        </w:rPr>
        <w:t>2</w:t>
      </w:r>
      <w:r w:rsidR="004C0ECC" w:rsidRPr="00E31458">
        <w:rPr>
          <w:rFonts w:ascii="Times New Roman" w:hAnsi="Times New Roman"/>
          <w:b/>
          <w:bCs/>
          <w:sz w:val="20"/>
          <w:szCs w:val="20"/>
          <w:lang w:val="kk-KZ"/>
        </w:rPr>
        <w:t>3</w:t>
      </w:r>
      <w:r w:rsidRPr="00E31458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Pr="00E31458">
        <w:rPr>
          <w:rFonts w:ascii="Times New Roman" w:hAnsi="Times New Roman"/>
          <w:b/>
          <w:bCs/>
          <w:sz w:val="20"/>
          <w:szCs w:val="20"/>
        </w:rPr>
        <w:t>года</w:t>
      </w:r>
    </w:p>
    <w:p w:rsidR="00CF7A48" w:rsidRPr="00E3145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C6424E" w:rsidRPr="00E3145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31458">
        <w:rPr>
          <w:rFonts w:ascii="Times New Roman" w:hAnsi="Times New Roman"/>
          <w:b/>
          <w:sz w:val="20"/>
          <w:szCs w:val="20"/>
          <w:u w:val="single"/>
        </w:rPr>
        <w:t>Заказчик/организатор закупок:</w:t>
      </w:r>
      <w:r w:rsidRPr="00E31458">
        <w:rPr>
          <w:rFonts w:ascii="Times New Roman" w:hAnsi="Times New Roman"/>
          <w:sz w:val="20"/>
          <w:szCs w:val="20"/>
        </w:rPr>
        <w:t xml:space="preserve"> АО "Национальный научный   медицинский центр", РК, 010000, г.</w:t>
      </w:r>
      <w:r w:rsidR="000E5E81" w:rsidRPr="00E31458">
        <w:rPr>
          <w:rFonts w:ascii="Times New Roman" w:hAnsi="Times New Roman"/>
          <w:sz w:val="20"/>
          <w:szCs w:val="20"/>
        </w:rPr>
        <w:t>Астана</w:t>
      </w:r>
      <w:r w:rsidRPr="00E31458">
        <w:rPr>
          <w:rFonts w:ascii="Times New Roman" w:hAnsi="Times New Roman"/>
          <w:sz w:val="20"/>
          <w:szCs w:val="20"/>
        </w:rPr>
        <w:t>, пр</w:t>
      </w:r>
      <w:r w:rsidR="005B0183" w:rsidRPr="00E31458">
        <w:rPr>
          <w:rFonts w:ascii="Times New Roman" w:hAnsi="Times New Roman"/>
          <w:sz w:val="20"/>
          <w:szCs w:val="20"/>
          <w:lang w:val="kk-KZ"/>
        </w:rPr>
        <w:t>.</w:t>
      </w:r>
      <w:r w:rsidRPr="00E31458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E31458">
        <w:rPr>
          <w:rFonts w:ascii="Times New Roman" w:hAnsi="Times New Roman"/>
          <w:sz w:val="20"/>
          <w:szCs w:val="20"/>
        </w:rPr>
        <w:t>Абылай</w:t>
      </w:r>
      <w:r w:rsidR="000E5E81" w:rsidRPr="00E31458">
        <w:rPr>
          <w:rFonts w:ascii="Times New Roman" w:hAnsi="Times New Roman"/>
          <w:sz w:val="20"/>
          <w:szCs w:val="20"/>
        </w:rPr>
        <w:t xml:space="preserve"> </w:t>
      </w:r>
      <w:r w:rsidRPr="00E31458">
        <w:rPr>
          <w:rFonts w:ascii="Times New Roman" w:hAnsi="Times New Roman"/>
          <w:sz w:val="20"/>
          <w:szCs w:val="20"/>
        </w:rPr>
        <w:t>хана, дом 42.</w:t>
      </w:r>
    </w:p>
    <w:p w:rsidR="00C6424E" w:rsidRPr="00E3145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E31458">
        <w:rPr>
          <w:rFonts w:ascii="Times New Roman" w:hAnsi="Times New Roman"/>
          <w:b/>
          <w:bCs/>
          <w:sz w:val="20"/>
          <w:szCs w:val="20"/>
        </w:rPr>
        <w:t>1</w:t>
      </w:r>
      <w:r w:rsidRPr="00E31458">
        <w:rPr>
          <w:rFonts w:ascii="Times New Roman" w:hAnsi="Times New Roman"/>
          <w:sz w:val="20"/>
          <w:szCs w:val="20"/>
        </w:rPr>
        <w:t xml:space="preserve">.   АО  «Национальный научный медицинский центр»  (далее – АО «ННМЦ») </w:t>
      </w:r>
      <w:r w:rsidR="00EA4976" w:rsidRPr="00E31458">
        <w:rPr>
          <w:rFonts w:ascii="Times New Roman" w:hAnsi="Times New Roman"/>
          <w:color w:val="000000"/>
          <w:sz w:val="20"/>
          <w:szCs w:val="20"/>
        </w:rPr>
        <w:t xml:space="preserve">в соответствии с главой </w:t>
      </w:r>
      <w:r w:rsidR="00B40211" w:rsidRPr="00E31458">
        <w:rPr>
          <w:rFonts w:ascii="Times New Roman" w:hAnsi="Times New Roman"/>
          <w:color w:val="000000"/>
          <w:sz w:val="20"/>
          <w:szCs w:val="20"/>
        </w:rPr>
        <w:t>10</w:t>
      </w:r>
      <w:r w:rsidR="00EA4976" w:rsidRPr="00E31458">
        <w:rPr>
          <w:rFonts w:ascii="Times New Roman" w:hAnsi="Times New Roman"/>
          <w:color w:val="000000"/>
          <w:sz w:val="20"/>
          <w:szCs w:val="20"/>
        </w:rPr>
        <w:t xml:space="preserve"> правил организации и проведения закупа </w:t>
      </w:r>
      <w:r w:rsidR="00EA4976" w:rsidRPr="00E31458">
        <w:rPr>
          <w:rFonts w:ascii="Times New Roman" w:hAnsi="Times New Roman"/>
          <w:sz w:val="20"/>
          <w:szCs w:val="20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 Постановление Правительства Республики Казахстан</w:t>
      </w:r>
      <w:r w:rsidR="00EA4976" w:rsidRPr="00E31458">
        <w:rPr>
          <w:rFonts w:ascii="Times New Roman" w:hAnsi="Times New Roman"/>
          <w:color w:val="000000"/>
          <w:sz w:val="20"/>
          <w:szCs w:val="20"/>
        </w:rPr>
        <w:t xml:space="preserve"> от 4 июня 2021 года №375 </w:t>
      </w:r>
      <w:r w:rsidRPr="00E31458">
        <w:rPr>
          <w:rFonts w:ascii="Times New Roman" w:hAnsi="Times New Roman"/>
          <w:color w:val="000000"/>
          <w:sz w:val="20"/>
          <w:szCs w:val="20"/>
        </w:rPr>
        <w:t xml:space="preserve">(далее – Правила) осуществила закуп товаров способом запроса ценовых предложений. </w:t>
      </w:r>
    </w:p>
    <w:p w:rsidR="00884E2F" w:rsidRDefault="00C6424E" w:rsidP="00C6424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31458">
        <w:rPr>
          <w:rFonts w:ascii="Times New Roman" w:hAnsi="Times New Roman"/>
          <w:sz w:val="20"/>
          <w:szCs w:val="20"/>
        </w:rPr>
        <w:t>2</w:t>
      </w:r>
      <w:r w:rsidRPr="00E31458">
        <w:rPr>
          <w:rFonts w:ascii="Times New Roman" w:hAnsi="Times New Roman"/>
          <w:b/>
          <w:bCs/>
          <w:sz w:val="20"/>
          <w:szCs w:val="20"/>
        </w:rPr>
        <w:t>.</w:t>
      </w:r>
      <w:r w:rsidRPr="00E31458">
        <w:rPr>
          <w:rFonts w:ascii="Times New Roman" w:hAnsi="Times New Roman"/>
          <w:sz w:val="20"/>
          <w:szCs w:val="20"/>
        </w:rPr>
        <w:t xml:space="preserve"> Перечень закупаемых товаров, краткое описание</w:t>
      </w:r>
      <w:r w:rsidR="00884E2F">
        <w:rPr>
          <w:rFonts w:ascii="Times New Roman" w:hAnsi="Times New Roman"/>
          <w:sz w:val="20"/>
          <w:szCs w:val="20"/>
        </w:rPr>
        <w:t>:</w:t>
      </w:r>
    </w:p>
    <w:tbl>
      <w:tblPr>
        <w:tblW w:w="14596" w:type="dxa"/>
        <w:tblInd w:w="113" w:type="dxa"/>
        <w:tblLook w:val="04A0" w:firstRow="1" w:lastRow="0" w:firstColumn="1" w:lastColumn="0" w:noHBand="0" w:noVBand="1"/>
      </w:tblPr>
      <w:tblGrid>
        <w:gridCol w:w="562"/>
        <w:gridCol w:w="2822"/>
        <w:gridCol w:w="11212"/>
      </w:tblGrid>
      <w:tr w:rsidR="00E90306" w:rsidRPr="00E90306" w:rsidTr="00E90306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Тех.характеристика</w:t>
            </w:r>
          </w:p>
        </w:tc>
      </w:tr>
      <w:tr w:rsidR="00E90306" w:rsidRPr="00E90306" w:rsidTr="00E90306">
        <w:trPr>
          <w:trHeight w:val="15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Аланинаминотрансфераза ALTL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Кассета Аланинаминотрансфераза ALTL 20764957322 на 500 тестов. Назначение:Тест для диагностики in vitro, предназначенный для количественного определения каталитической активности АЛТ (EC 2.6.1.2; L аланин: 2 оксоглутаратаминотрансфераза) в человеческой сыворотке крови и плазме с использованием систем Cobas Integra . Реагенты и рабочие растворы: R1 ТРИС-буфер: 224 ммоль/л, рН 7.3 (37 °C); L аланин: 1120 ммоль/л; альбумин (бычий): 0.25 %; лактатгидрогеназа (бактериальная): ≥ 45 мккат/л; стабилизаторы; консервант SR 2 Оксоглютарат: 94 ммоль/л; НАДН: ≥ 1.7 ммоль/л; консервант R1 находится в позиции B, SR — в позиции C.Условия хранения: Хранить при 2 8 °C </w:t>
            </w:r>
          </w:p>
        </w:tc>
      </w:tr>
      <w:tr w:rsidR="00E90306" w:rsidRPr="00E90306" w:rsidTr="00E90306">
        <w:trPr>
          <w:trHeight w:val="156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Аспартатаминотрансфераза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ASTL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Аспартатаминотрансфераза ASTL 20764949322 на 500 тестов. Назначение: In vitro тест для количественного определения катализирующей активности АСТ (EC 2.6.1.1; L аспартат: 2 оксоглутаратаминотрансфераза) в человеческой сыворотке крови и плазме с использованием систем Cobas Integra . Реагенты - рабочие растворы: R1 ТРИС-буфер: 264 ммоль/л, рН 7.8 (37 °C); L аспартат: 792 ммоль/л; МДГ (бактериальная): ≥ 24 мккат/л; ЛДГ (бактериальная): ≥ 48 мккат/л; альбумин (бычий): 0.25 %; консервант SR НАДН: ≥ 1.7 ммоль/л; 2 оксокглутарат: 94 ммоль/л; консервант R1 находится в позиции A, SR — в позиции B и C. Хранение и стабильность: Срок хранения невскрытого реагента при 2 8 °C до окончания срока годности. При использовании на борту при 10 15 °C 12 недель.</w:t>
            </w:r>
          </w:p>
        </w:tc>
      </w:tr>
      <w:tr w:rsidR="00E90306" w:rsidRPr="00E90306" w:rsidTr="00E90306">
        <w:trPr>
          <w:trHeight w:val="7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Креатинин Яффе CREAJ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Кассеты креатинин CREAJ 204810716190 на 700 тестов Назначение: Набор для диагностики in vitro. Предназначен для количественного определения креатинина в сыворотке и плазме крови человека на анализаторахCobas Integra. Реагенты и рабочие растворы: R1 Гидроксид калия: 900 ммоль/л; фосфат: 135 ммоль/л; рН ≥ 13.5 SR Пикриновая кислота: 38 ммоль/л; pH 6.5; нереактивный буфер. R1 находится в позиции B, SR — в позиции C. Условия хранения: Хранить при 15 25 °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pH-электрод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РН электрод в наборе. Состав: одна пробирка в виде цилиндрического корпуса, внутри которого находится ионно-чувствительный элемент РН для вымачивания нового и/или сухого электрода и раствора для очистки электродов, 10 мл (содержит неорганическую соль). Вес электрода 0,08 кг. REF 945-614. для анализаторов серии ABL800,  945-614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общий белок TP2 Gen2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Кассета общий белок TP2 Gen2  03183734190 на 300 тестов. Назначение: Тест для диагностики in vitro, предназначенный для количественного определения концентрации общего белка в сыворотке и плазме крови человека  на анализаторах Cobas Integra. Реагенты и рабочие растворы: R1 Гидроксид натрия: 400 ммоль/л; виннокислый калийнатрий: 89 ммоль/л; pH: 13.4 SR Гидроксид натрия: 400 ммоль/л; виннокислый калийнатрий: 89 ммоль/л; иодид калия: 61 ммоль/л; сульфат меди: 24.3 ммоль/л; pH: 13.2 R1 находится в положении B, SR – в положении C.  Условия хранения: Срок годности при 15 25 °C См. срок годности на этикетке кассеты. При использовании на борту 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анализатора при 10 15 °C 4 недели </w:t>
            </w:r>
          </w:p>
        </w:tc>
      </w:tr>
      <w:tr w:rsidR="00E90306" w:rsidRPr="00E90306" w:rsidTr="00E90306">
        <w:trPr>
          <w:trHeight w:val="15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Мочевина UREAL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Мочевина UREAL 04460715190 на 500 тестов  Назначение: Набор для in vitro диагностики. Предназначен для количественного определения мочевины/азота мочевины в сыворотке, плазме и моче человека на анализаторах Cobas Integra.Реагенты и рабочие растворы: R1 NaCl 9 % R2 ТРИС-буфер: 220 ммоль/л, рН 8.6; 2 оксокглутарат: 73 ммоль/л; НАДН: 2.5 ммоль/л; АДФ: 6.5 ммоль/л; уреаза (канавалия мечевидная): ≥ 300 мккат/л; ГЛДГ (бычья печень): ≥ 80 мккат/л; консервант; нереактивные стабилизаторы R1 находится в позиции С, R2 — в позиции В. Условия хранения: Срок хранения при 2 8 °C: См. срок годности на упаковке кассеты. Срок хранения вскрытого реагента в холодильнике на борту анализатора: 8 недель.</w:t>
            </w:r>
          </w:p>
        </w:tc>
      </w:tr>
      <w:tr w:rsidR="00E90306" w:rsidRPr="00E90306" w:rsidTr="00E90306">
        <w:trPr>
          <w:trHeight w:val="3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Баллон калибров.газом 1 (34 Бар)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Газовый баллон, наполненный прецезионными трехкомпонентными газовыми смесями (19,8% О2, 5,6% СО2, азот), предназначенные для калибровки электродов рО2, рСО2 в анализаторах ABL800. Давление 34 бар</w:t>
            </w:r>
          </w:p>
        </w:tc>
      </w:tr>
      <w:tr w:rsidR="00E90306" w:rsidRPr="00E90306" w:rsidTr="00E90306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Баллон калибров.газом 2 (34 Бар)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Газовый баллон, наполненный прецезионными двухкомпонентными газовыми смесями (11,2% СО2, азот), предназначенные для калибровки электродов рО2, рСО2 в анализаторах ABL800. Давление 34 бар</w:t>
            </w:r>
          </w:p>
        </w:tc>
      </w:tr>
      <w:tr w:rsidR="00E90306" w:rsidRPr="00E90306" w:rsidTr="00E90306">
        <w:trPr>
          <w:trHeight w:val="10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Высокий патологический контроль ACL TOP (High Abnormal Control Assayed) 10х1мл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Высокий патологический контроль ACL TOP/ High Abnormal Control Assayed из комплекта Анализатор автоматический коагулометрический ACL TOР 20003310, 10х1мл. Контрольный материал предназначен для оценки воспроизводимости и точности методик определения: ПВ, АЧТВ, антитромбина, протеинов С и S. Значения для всех аналитов находятся в пределах диапазона высоких патологических значений.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 .</w:t>
            </w:r>
          </w:p>
        </w:tc>
      </w:tr>
      <w:tr w:rsidR="00E90306" w:rsidRPr="00E90306" w:rsidTr="00E90306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Глюкозный электрод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Глюкоза элетрод в наборе. Состав: одна пробирка в виде цилиндрические корпуса, внутри которого находится ионно-чувствительный элемент на Глюкоза для вымывания нового/или сухого электрода и раствора для очистки электродов, 10 мл (содержит неорганическую соль). Вес электрода 0,08 кг. 945-620 для анализатора ABL800</w:t>
            </w:r>
          </w:p>
        </w:tc>
      </w:tr>
      <w:tr w:rsidR="00E90306" w:rsidRPr="00E90306" w:rsidTr="00E90306">
        <w:trPr>
          <w:trHeight w:val="21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Дилюент изотонический разбавитель 20 л. Драйпак (HTI Diluent 20l, Drypack)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Дилюент изотонический разбавитель 20 л. Драйпак (HTI Diluent 20l, Drypack Для гематологического анализатора MicroCC-20Plus. Состав и описание изделия: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≤ 1.0% солей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≤ 0.5% рН буферного раствора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≤ 0.1% противомикробных средств 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≥ 98.4% водный раствор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"то стабилизированный и микро-фильтрующий ферментативный очиститель для постоянной автоматической очистки, для качественного и количественного определения эритроцитов (RBC), лейкоцитов (WBC) и субпопуляций лейкоцитов, тромбоцитов (PLT) и измерения гемоглобина (HGB) концентрации на HTI гематологических анализаторах.</w:t>
            </w:r>
          </w:p>
        </w:tc>
      </w:tr>
      <w:tr w:rsidR="00E90306" w:rsidRPr="00E90306" w:rsidTr="00E90306">
        <w:trPr>
          <w:trHeight w:val="8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Калибратор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Calibrator f.a.s.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Назначение:Калибратор  Calibrator f.a.s. 10759350190 для автоматизированных систем Cobas Integra предназначен для калибровки тестов Roche для количественного определения одного или множества белков клинической химии Roche, в соответствии с паспортами присвоенных значений. Реагенты и рабочие растворы: Человеческая сыворотка крови с химическими добавками и материалом биологического происхождения в соответствии с указанными данными. Условия хранения: Хранить при 2 8 °C. 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Калибратор f.a.s. Proteins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Назначение:Калибратор  f.a.s. Proteins  11355279216 для автоматизированных систем  Cobas Integra предназначен для калибровки тестов Roche для количественного определения одного или множества белков клинической химии Roche, в соответствии с паспортами присвоенных значений. Реагенты и рабочие растворы: Человеческая сыворотка крови с химическими добавками и материалом биологического 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происхождения в соответствии с указанными данными. Условия хранения: Хранить при 2 8 °C. </w:t>
            </w:r>
          </w:p>
        </w:tc>
      </w:tr>
      <w:tr w:rsidR="00E90306" w:rsidRPr="00E90306" w:rsidTr="00E90306">
        <w:trPr>
          <w:trHeight w:val="5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Калибровочная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плазма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ACL TOP  (Calibration Plasma)10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Калибровочная плазма ACL TOP/ Calibration Plasma  из комплекта Анализатор автоматический коагулометрический ACL TOP  2000370, 10х1мл. Калибратор универсальный.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</w:t>
            </w:r>
          </w:p>
        </w:tc>
      </w:tr>
      <w:tr w:rsidR="00E90306" w:rsidRPr="00E90306" w:rsidTr="00E90306">
        <w:trPr>
          <w:trHeight w:val="4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Калибровочный раствор 2 для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Объем 200 мл. Применяется для автоматической калибровки в анализаторах ABL800. Для диагностики in vitro.Содержит K, Na, Ca, Cl, буфер, рН 6,9, для калибровки рН электрода, электролитного и метаболитного электродов. 944-129</w:t>
            </w:r>
          </w:p>
        </w:tc>
      </w:tr>
      <w:tr w:rsidR="00E90306" w:rsidRPr="00E90306" w:rsidTr="00E90306">
        <w:trPr>
          <w:trHeight w:val="1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Калибровочный раствор для tHb ABL 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Применяется для автоматической калибровки системы анализатора ABL800 по гемоглобину. 1 упак=4 ампулы по 2 мл,  944-021</w:t>
            </w:r>
          </w:p>
        </w:tc>
      </w:tr>
      <w:tr w:rsidR="00E90306" w:rsidRPr="00E90306" w:rsidTr="00E90306">
        <w:trPr>
          <w:trHeight w:val="5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Билирубин общий BILT Gen.3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Билирубин общий BILT Gen.3 (Bilirubin-Total) 05795397190 на 250 тестов. Назначение: In vitro тест для количественного определения общего содержания билирубина в сыворотке и плазме крови человека (взрослых и новорожденных) на анализаторах Cobas Integra. Реагенты и рабочие растворы: R1 Фосфат: 50 ммоль/л; детергенты; стабилизаторы; рН 1.0 R2 3,5 дихлорфенил диазониевая соль: ≥ 1.35 ммоль/л R1 находится в позиции B и R2 – в позиции C. Условия хранения: Хранить при 2 8 °C</w:t>
            </w:r>
          </w:p>
        </w:tc>
      </w:tr>
      <w:tr w:rsidR="00E90306" w:rsidRPr="00E90306" w:rsidTr="00E90306">
        <w:trPr>
          <w:trHeight w:val="8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Триглицериды TRIGL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Триглицериды TRIGL 20767107322 на 250 тестов. Назначение:Тест для диагностики in vitro предназначен для количественного определения концентрации триглицеридов в сыворотке и плазме крови человека на анализаторах Cobas Integra. Реагенты и рабочие растворы: ПИПЕС-буфер: 50 ммоль/л, pH 6.8; Mg2+: 40 ммоль/л; холат натрия: 0.20 ммоль/л; АТФ: ≥ 1.4 ммоль/л; 4-аминофеназон: ≥ 0.13 ммоль/л; 4-хлорфенол: 4.7 ммоль/л; ЛПЛ (бактериальная): ≥ 83 мккат/л; ГК (бактериальная):  ≥ 3 мккат/л; ГПО (бактериальная): ≥ 41 мккат/л; ПОД (хрена): ≥ 1.6 мккат/л; консервант; стабилизаторы R находится в позиции B.  Условия хранения: Хранить при 2 8 °C.</w:t>
            </w:r>
          </w:p>
        </w:tc>
      </w:tr>
      <w:tr w:rsidR="00E90306" w:rsidRPr="00E90306" w:rsidTr="00E90306">
        <w:trPr>
          <w:trHeight w:val="16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Холестерин CHOL (Cholesterol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Кассета Холестерин CHOL (Cholesterol) 03039773190 для анализаторов Cobas Integra на 400 тестов. Назначение: Тест диагностики in vitro для количественного определения общего холестерина в сыворотке и плазме крови человека на анализаторах COBAS. Реагенты и рабочие растворы: R PIPESa): 225 ммоль/л, pH 6.8; Mg2+: 10 ммоль/л; холат натрия: 0.6 ммоль/л; 4 аминоантипирин: ≥ 0.45 ммоль/л; фенол ≥ 12.6 ммоль/л; полигликолевый эфир жирных спиртов: 3 %; холестеролэстераза (Pseudomonas spec.): ≥ 25 мккат/л (≥ 1.5 Е/мл); холестеролоксидаза (E. coli): ≥ 7.5 мккат/л (≥ 0.45 Е/мл); пероксидаза (хрена): ≥ 12.5 мккат/л (≥ 0.75 Е/мл); стабилизаторы; консервант a) PIPES = буферный раствор пиперазин-1,4-бис(2-этансульфоновой кислоты R находится в позиции B.  Условия хранения: Срок хранения при 2 8 °C: См. срок годности на упаковке . При использовании на борту анализатора при 10 15 °C 8 недель </w:t>
            </w:r>
          </w:p>
        </w:tc>
      </w:tr>
      <w:tr w:rsidR="00E90306" w:rsidRPr="00E90306" w:rsidTr="00E90306">
        <w:trPr>
          <w:trHeight w:val="30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Контроль Д-Димера–HemosIL Liquid, (уп.: 5 фл. по 1 мл  + 5 фл. по 1 мл) из комплекта  Анализатор автоматический коагулометрический для диагностики in vitro ACL TOP,модификации: ACLTOP350 CTS, ACLTOP550 CTS, ACLTOP 750, ACLTOP750 CTS, ACLTOP750 LAS +2 +8 С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Контрольный материал предназначен для оценки воспроизводимости и точности методики определения д-димера на пограничных уровнях. Форма выпуска: жидкая, готовая к применению. Метод определения: нефелометрия и турбидиметрия. Поставляется в картонных упаковках (уп.: 5 фл. по 1 мл + 5 фл. по 1 мл). Температура хранения +2 +8 C . 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Контрольная кровь Para 12 Extend 3*2,5ml (1L, 1N, 1H)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Контрольная кровь Para 12 Extend 3*2,5ml (1L, 1N, 1H) Для проведения контроля качества анализатора MicroCC-20Plus</w:t>
            </w:r>
          </w:p>
        </w:tc>
      </w:tr>
      <w:tr w:rsidR="00E90306" w:rsidRPr="00E90306" w:rsidTr="00E90306">
        <w:trPr>
          <w:trHeight w:val="3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Краситель-фиксатор Эозин метиленовый синий по Май-Грюнвальду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Стабилизированный раствор красителя, обеспечивает фиксацию препаратов крови и предварительную окраску.</w:t>
            </w: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Один литр красителя-фиксатора рассчитан на фиксацию не менее 1000 препаратов.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Азур-эозин краситель по Романовскому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Краситель форменных элементов Азур-Эозин по Романовскому предназначен для окрашивания форменных элементов крови. Состав: 0,76% р-р Азур-эозина в смеси метанола и глицерина - 1 флакон (1 л) 2). Концентрированный раствор фосфатного буфера - 1 флакон (10 мл)</w:t>
            </w:r>
          </w:p>
        </w:tc>
      </w:tr>
      <w:tr w:rsidR="00E90306" w:rsidRPr="00E90306" w:rsidTr="00E90306">
        <w:trPr>
          <w:trHeight w:val="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 xml:space="preserve">лактатный электрод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Lac электрод в наборе. Состав: одна пробирка в виде цилиндрического корпуса, внутри которого находится ионно-чувствительный элемент на Lactate для вымачивания нового и/или сухого электрода и раствор для очистки электродов, 10 мл (содержит неорганическую соль). Вес электрода 0,08 кг. Для анализаторов серии ABL80,  945-619</w:t>
            </w:r>
          </w:p>
        </w:tc>
      </w:tr>
      <w:tr w:rsidR="00E90306" w:rsidRPr="00E90306" w:rsidTr="00E90306">
        <w:trPr>
          <w:trHeight w:val="4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Лизирующий раствор 1 л. (HTI Lytic Reagent 1L/ HTI MicroCC-20Plus)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Лизирующий раствор 1 л. Для гематологического анализатора MicroCC-20Plus</w:t>
            </w:r>
          </w:p>
        </w:tc>
      </w:tr>
      <w:tr w:rsidR="00E90306" w:rsidRPr="00E90306" w:rsidTr="00E9030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Масло иммерсионное по 100 мл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Масло иммерсионное не стерильное по 100 мл для микроскопировании окрашенных мазков крови обьем флакон 100 мл</w:t>
            </w:r>
          </w:p>
        </w:tc>
      </w:tr>
      <w:tr w:rsidR="00E90306" w:rsidRPr="00E90306" w:rsidTr="00E90306">
        <w:trPr>
          <w:trHeight w:val="37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 xml:space="preserve">Мембрана Ca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кальция. Применяется для работы анализаторов ABL800, 942-060. Для диагностики in vitro.</w:t>
            </w:r>
          </w:p>
        </w:tc>
      </w:tr>
      <w:tr w:rsidR="00E90306" w:rsidRPr="00E90306" w:rsidTr="00E90306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Мембрана CL ABL 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хлора. Применяется для работы анализаторов ABL800, 942-061. Для диагностики in vitro.</w:t>
            </w:r>
          </w:p>
        </w:tc>
      </w:tr>
      <w:tr w:rsidR="00E90306" w:rsidRPr="00E90306" w:rsidTr="00E90306">
        <w:trPr>
          <w:trHeight w:val="3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 xml:space="preserve">Мембрана Lac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лактата. Применяется для работы анализаторов ABL800, 942-066. Для диагностики in vitro.</w:t>
            </w:r>
          </w:p>
        </w:tc>
      </w:tr>
      <w:tr w:rsidR="00E90306" w:rsidRPr="00E90306" w:rsidTr="00E90306">
        <w:trPr>
          <w:trHeight w:val="47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Мембрана Na ABL 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натрия. Применяется для работы анализаторов ABL800, 942-062. Для диагностики in vitro.</w:t>
            </w:r>
          </w:p>
        </w:tc>
      </w:tr>
      <w:tr w:rsidR="00E90306" w:rsidRPr="00E90306" w:rsidTr="00E90306">
        <w:trPr>
          <w:trHeight w:val="47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 xml:space="preserve">Мембрана pCo2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СО2 ионы. Применяется для работы анализаторов ABL800, 942-063. Для диагностики in vitro.</w:t>
            </w:r>
          </w:p>
        </w:tc>
      </w:tr>
      <w:tr w:rsidR="00E90306" w:rsidRPr="00E90306" w:rsidTr="00E90306">
        <w:trPr>
          <w:trHeight w:val="4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Мембрана pО2 ABL 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О2 ионы. Применяется для работы анализаторов ABL800, 942-064. Для диагностики in vitro.</w:t>
            </w:r>
          </w:p>
        </w:tc>
      </w:tr>
      <w:tr w:rsidR="00E90306" w:rsidRPr="00E90306" w:rsidTr="00E90306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Мембрана для референтного электрода ABL800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Применяется для работы анализаторов ABL800, 942-058. Для диагностики in vitro.</w:t>
            </w:r>
          </w:p>
        </w:tc>
      </w:tr>
      <w:tr w:rsidR="00E90306" w:rsidRPr="00E90306" w:rsidTr="00E90306">
        <w:trPr>
          <w:trHeight w:val="26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Мембрана К ABL 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калия. Применяется для работы анализаторов ABL800, 942-059. Для диагностики in vitro.</w:t>
            </w:r>
          </w:p>
        </w:tc>
      </w:tr>
      <w:tr w:rsidR="00E90306" w:rsidRPr="00E90306" w:rsidTr="00E90306">
        <w:trPr>
          <w:trHeight w:val="22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Мембраны для глюкозного электрода ABL800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глюкозы. Применяется для работы анализаторов ABL800, 942-065. Для диагностики in vitro.</w:t>
            </w:r>
          </w:p>
        </w:tc>
      </w:tr>
      <w:tr w:rsidR="00E90306" w:rsidRPr="00E90306" w:rsidTr="00E90306">
        <w:trPr>
          <w:trHeight w:val="11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Моющий агент-HemosIL Cleaning Agent из комплекта анализатор автоматический коагулометрический для in vitro диагностики ACL ELITE/ACL ELITE PRO с принадлежностями (80 мл)+15 +25 C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Очищающий раствор. Предназначен для технического обслуживания лабораторного оборудования. В состав набора входит: гипохлорит натрия. Форма выпуска: жидкая, готовая к применению. Поставляется в картонных упаковках (уп.: 1 фл. по 80 мл). Температура хранения +15 +25 C . </w:t>
            </w:r>
          </w:p>
        </w:tc>
      </w:tr>
      <w:tr w:rsidR="00E90306" w:rsidRPr="00E90306" w:rsidTr="00E90306">
        <w:trPr>
          <w:trHeight w:val="228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Низкий патологический контроль-HemosIL Low Abnormal Control из комплекта анализатор автоматический коагулометрический для in vitro диагностики ACL ELITE/ACL ELITE PRO с принадлежностями  (10x1мл), t +2 +8 C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ПВ, АЧТВ, ТВ, фибриногена, антитромбина, протеинов С и S. Значения для всех аналитов находятся в пределах диапазона низких патологических значений. Форма выпуска: лиофилизат. Метод определения: нефелометрия и турбидиметрия.  Поставляется в картонных упаковках (уп.: 10 фл. по 1 мл). Температура хранения +2 +8 C . </w:t>
            </w:r>
          </w:p>
        </w:tc>
      </w:tr>
      <w:tr w:rsidR="00E90306" w:rsidRPr="00E90306" w:rsidTr="00E90306">
        <w:trPr>
          <w:trHeight w:val="15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Нормальный контроль -HemosIL Normal Control  из комплекта анализатор автоматический коагулометрический для in vitro диагностики ACL ELITE/ACL ELITE PRO с принадлежностями  (10x1мл), t +2 +8 C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антитромбина, плазминогена, ингибитора плазмина, протеинов С и S. Значения для всех аналитов находятся в пределах диапазона нормальных значений.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 . </w:t>
            </w:r>
          </w:p>
        </w:tc>
      </w:tr>
      <w:tr w:rsidR="00E90306" w:rsidRPr="00E90306" w:rsidTr="00E90306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Очищающий р-р для ABL800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Объем 175 мл. Применяется для очистки измерительной системы анализаторов ABL800. Для диагностики in vitro.Содержит неорганические соли, буфер, антикоагулянт, консервант и ПАВ. 944-126</w:t>
            </w:r>
          </w:p>
        </w:tc>
      </w:tr>
      <w:tr w:rsidR="00E90306" w:rsidRPr="00E90306" w:rsidTr="00E90306">
        <w:trPr>
          <w:trHeight w:val="12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Чистящий раствор CLEANER 1000мл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Назначение Чистящий раствор CLEANER 1000мл,20754765322  представляет собой раствор для очистки для образца и проб реагента и системы для внутривенных инфузий. Теоретическое обоснование Для сохранения целостности проб образца и реагента и системы для внутривенных инфузий требуется промывка. Чистящий раствор используется в качестве раствора для очистки для предотвращения возможного переноса из образца и проб реагента и системы для внутривенных инфузий. Реагенты - рабочие растворы HCl 0.3 моль/л. Хранение и стабильность Срок хранения невскрытого реагента при 15 25 °C См. срок годности на флаконе с реагентом Анализатор COBAS INTEGRA 400 plus/800 при использовании на борту 12 недель</w:t>
            </w:r>
          </w:p>
        </w:tc>
      </w:tr>
      <w:tr w:rsidR="00E90306" w:rsidRPr="00E90306" w:rsidTr="00E90306">
        <w:trPr>
          <w:trHeight w:val="12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 xml:space="preserve">Разбавитель факторов - HemosIL Factor Diluent из комплекта анализатор автоматический коагулометрический для in vitro диагностики ACL ELITE/ACL </w:t>
            </w:r>
            <w:r w:rsidRPr="00E90306">
              <w:rPr>
                <w:rFonts w:ascii="Times New Roman" w:hAnsi="Times New Roman"/>
                <w:sz w:val="18"/>
                <w:szCs w:val="18"/>
              </w:rPr>
              <w:lastRenderedPageBreak/>
              <w:t>ELITE PRO с принадлежностями,( 1х100 мл), t +15 +25 C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lastRenderedPageBreak/>
              <w:t>Разбавитель плазмы. Предназначен для разбавления плазмы при проведении исследований. Форма выпуска: жидкая, готовая к применению. Метод определения: нефелометрия или турбидиметрия. Поставляется в картонных упаковках (уп.: 1 фл. по 100 мл). Температура хранения +15 +25 C .</w:t>
            </w:r>
          </w:p>
        </w:tc>
      </w:tr>
      <w:tr w:rsidR="00E90306" w:rsidRPr="00E90306" w:rsidTr="00E90306">
        <w:trPr>
          <w:trHeight w:val="42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Раствор для контроля качества Auto Check, уровень 1  ABL 800 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 7 мл раствора. Заданные значения – ацидоз.944-074</w:t>
            </w:r>
          </w:p>
        </w:tc>
      </w:tr>
      <w:tr w:rsidR="00E90306" w:rsidRPr="00E90306" w:rsidTr="00E90306">
        <w:trPr>
          <w:trHeight w:val="5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Раствор для контроля качества Auto Check, уровень 2 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норма. 944-075</w:t>
            </w:r>
          </w:p>
        </w:tc>
      </w:tr>
      <w:tr w:rsidR="00E90306" w:rsidRPr="00E90306" w:rsidTr="00E90306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Раствор для контроля качества Auto Check, уровень 3 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алкалоз. 944-076</w:t>
            </w:r>
          </w:p>
        </w:tc>
      </w:tr>
      <w:tr w:rsidR="00E90306" w:rsidRPr="00E90306" w:rsidTr="00E90306">
        <w:trPr>
          <w:trHeight w:val="4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Раствор для контроля качества Auto Check, уровень 4  ABL 800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высокое содержание кислорода. 944-077</w:t>
            </w:r>
          </w:p>
        </w:tc>
      </w:tr>
      <w:tr w:rsidR="00E90306" w:rsidRPr="00E90306" w:rsidTr="00E90306">
        <w:trPr>
          <w:trHeight w:val="18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Реагент для определения рекомбипластин 2Ж ACL TOP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Реагент для определения рекомбипластин 2Ж ACL TOP/ Recombiplastin 2G из комплекта Анализатор автоматический коагулометрический ACL TOР 20003050,10х20мл. Реагент для определения протромбинового времени (ПВ),МНО и расчетного фибриногена в человеческой цитратной плазме.Используется для оценки внешнего пути гемостаза  мониторинга ОАТ. В состав реагента входит рекомбинантный человеческий тканевой фактор,характеризующийся МИЧ-1. Реагент стабилен на борту анализатора 4 дня. Форма выпуска: лиофилизат. Методы определения: нефелометрия или турбидиметрия.Поставляется в картонных упаковках (упк: 5фл.по 20мл реагента+5фл.по 20мл разбавителя).Температура хранения+2+8 С. Фасовка: 5фл.по 20мл реагента +5фл.по 20мл разбавителя. Используется для работы на "Закрытой" системе анализаторов семейства ACL TOP (300,500,700) и ACL Elite PRO.</w:t>
            </w:r>
          </w:p>
        </w:tc>
      </w:tr>
      <w:tr w:rsidR="00E90306" w:rsidRPr="00E90306" w:rsidTr="00E9030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Референсный электрод для RADIOMETER AVL800.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Референсный электрод для RADIOMETER AVL800. Код 945603</w:t>
            </w:r>
          </w:p>
        </w:tc>
      </w:tr>
      <w:tr w:rsidR="00E90306" w:rsidRPr="00E90306" w:rsidTr="00E9030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Ротор  (1х20 позиции 100 шт в упаковке)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Измерительные ячейки предназначены для проведения исследований системы гемостаза на автоматических анализаторах. Материал - пластик. </w:t>
            </w:r>
          </w:p>
        </w:tc>
      </w:tr>
      <w:tr w:rsidR="00E90306" w:rsidRPr="00E90306" w:rsidTr="00E90306">
        <w:trPr>
          <w:trHeight w:val="25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Реагент для определения СинтАСил (АЧТВ-реагент) ACL TOP, 5х10мл+5х10мл)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Реагент для определения СинтАСил (АЧТВ-реагент) ACL TOP из комплекта Анализатор автоматический коагулометрический ACL TOР  20006800, 5х10мл+5х10мл. Реагент для определения активированного частично тромбинового времени (АЧТВ) в человеческой цитратной плазме. Метод АЧТВ используется в качестве основного скринингового метода для оценки нарушений внутреннего пути свертывания и для мониторинга гепариновой антикоагулянтной терапии. Метод чувствителен к сниженным концентрациям факторов контактной фазы, факторов внутреннего и общего пути свертывания, антикоагуляционному действию гепарина и наличию ингибиторов, в частности волчаночно-подобных антикоагулянтов. Рекомендован к использованию для предоперационной скрининговой диагностики. Форма выпуска: жидкая, готовая к применению. Методы определения: нефелометрия или турбидиметрия. Поставляется в картонных упаковках (уп.: 5 фл. по 10 мл реагента + 5 фл. по 10 мл хлорида кальция). Температура хранения +2 +8 C .  Фасовка: 5 фл. по 10 мл реагента + 5 фл. по 10 мл хлорида кальция. Методы определения: нефелометрия или турбидиметрия. Используется для работы на "Закрытой" ситеме анализаторов семейства ACL ТОР (300, 500, 700) и ACL Elite PRO</w:t>
            </w:r>
          </w:p>
        </w:tc>
      </w:tr>
      <w:tr w:rsidR="00E90306" w:rsidRPr="00E90306" w:rsidTr="00E90306">
        <w:trPr>
          <w:trHeight w:val="6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Ферментативный очиститель 1 литр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sz w:val="18"/>
                <w:szCs w:val="18"/>
              </w:rPr>
              <w:t>Ферментативный очиститель HTI, для очищения жидкостьпроводящих путей анализатора, в том числе от белковых отложений. Содержание протеолитического фермента &lt; 1%; формиата натрия &lt; 0.8 %; хлорида натрия &lt; 0.6%, солей ЭДТА &lt; 0.2%; пропиленгликоля &lt; 3.5%; сурфактанта &lt; 0.2%.</w:t>
            </w:r>
            <w:bookmarkStart w:id="0" w:name="_GoBack"/>
            <w:bookmarkEnd w:id="0"/>
            <w:r w:rsidRPr="00E90306">
              <w:rPr>
                <w:rFonts w:ascii="Times New Roman" w:hAnsi="Times New Roman"/>
                <w:sz w:val="18"/>
                <w:szCs w:val="18"/>
              </w:rPr>
              <w:br/>
              <w:t>Жидкость синего цвета без запаха. Для гематологического анализатора MicroCC-20Plus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Реагент для определения фибриногена  по Клаусу ACL TOP / QFA Thrombin,10x2ml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Реагент для определения фибриногена  по Клаусу ACL TOP / QFA Thrombin  из комплекта Анализатор автоматический коагулометрический ACL TOР 20301800, 10x2ml (320 тестов). Реагент для определения фибриногена по Клауссу в человеческой цитратной плазме. В состав реагента входит очищенный бычий тромбин в концентрации 100 ЕД/мл. Линейность метода составляет 35-1000 мг/дл. Реагент не чувствителен к прямым ингибиторам тромбина.  Форма выпуска: лиофилизат. Методы определения: нефелометрия или турбидиметрия. Фасовка: 10 фл. по 2 мл реагента. Методы определения: нефелометрия или турбидиметрия. Используется для работы на "Закрытой" ситеме анализаторов семейства ACL ТОР (300, 500, 700) и ACL Elite PRO.</w:t>
            </w:r>
          </w:p>
        </w:tc>
      </w:tr>
      <w:tr w:rsidR="00E90306" w:rsidRPr="00E90306" w:rsidTr="00E90306">
        <w:trPr>
          <w:trHeight w:val="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Электрод Ca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Cа2 электрод в наборе. Состав: одна пробирка в виде цилинлрического корпуса, внутри которого находится ионно-цувствительный элемент на кальции для вымачивания нового/или сухого электрода и раствора для очистки электродов. 10 мл. Для анализатора ABL800, 945-616</w:t>
            </w:r>
          </w:p>
        </w:tc>
      </w:tr>
      <w:tr w:rsidR="00E90306" w:rsidRPr="00E90306" w:rsidTr="00E90306">
        <w:trPr>
          <w:trHeight w:val="2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Электрод K+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K электрод в наборе. Состав: одна пробирка в виде цилинлрического корпуса, внутри которого находится ионно-цувствительный элемент на кальции для вымачивания нового/или сухого электрода и раствора для очистки электродов. 10 мл. Для анализатора ABL800, 945-615</w:t>
            </w:r>
          </w:p>
        </w:tc>
      </w:tr>
      <w:tr w:rsidR="00E90306" w:rsidRPr="00E90306" w:rsidTr="00E90306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Электрод Na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Na электрод в наборе. Состав: одна пробирка в виде цилинлрического корпуса, внутри которого находится ионно-цувствительный элемент на кальции для вымачивания нового/или сухого электрода и раствора для очистки электродов. 10 мл. Для анализатора ABL800, 945-618</w:t>
            </w:r>
          </w:p>
        </w:tc>
      </w:tr>
      <w:tr w:rsidR="00E90306" w:rsidRPr="00E90306" w:rsidTr="00E9030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Электрод РО2 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Цилиндрический корпус, внутри которого находится ионно-чувствительный элемент на pO2 для анализаторов серии ABL800, 945-613</w:t>
            </w:r>
          </w:p>
        </w:tc>
      </w:tr>
      <w:tr w:rsidR="00E90306" w:rsidRPr="00E90306" w:rsidTr="00E9030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Электрод РСО2  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Цилиндрический корпус, внутри которого находится ионно-чувствительный элемент на pCO2 для анализаторов серии ABL800, 945-612</w:t>
            </w:r>
          </w:p>
        </w:tc>
      </w:tr>
      <w:tr w:rsidR="00E90306" w:rsidRPr="00E90306" w:rsidTr="00E90306">
        <w:trPr>
          <w:trHeight w:val="12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306" w:rsidRPr="00E90306" w:rsidRDefault="00E90306" w:rsidP="00BA2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Амилаза AMYL (Amylase)</w:t>
            </w:r>
          </w:p>
        </w:tc>
        <w:tc>
          <w:tcPr>
            <w:tcW w:w="1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306" w:rsidRPr="00E90306" w:rsidRDefault="00E90306" w:rsidP="00BA2F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306">
              <w:rPr>
                <w:rFonts w:ascii="Times New Roman" w:hAnsi="Times New Roman"/>
                <w:color w:val="000000"/>
                <w:sz w:val="18"/>
                <w:szCs w:val="18"/>
              </w:rPr>
              <w:t>Кассета Амилаза AMYL (Amylase) 03183742122 для анализаторов Cobas Integra на 300 тестов. Назначение: Набор для in vitro диагностики, предназначенный для количественного определения каталитической активности α амилазы (EC 3.2.1.1; 1,4 α D глюкан: глюканогидролаза) в человеческой сыворотке, плазме и моче. Реагенты и рабочие растворы: R1 HEPES: 52.4 ммоль/л; хлорид натрия: 87 ммоль/л; хлорид кальция: 0.08 ммоль/л; хлорид магния: 12.6 ммоль/л; α глюкозидаза (бактериальная): ≥ 66.8 мккат/л; pH 7.0 (37 °C); консервант; стабилизаторы SR HEPES: 52.4 ммоль/л; этилиден G7 PNP: 22 ммоль/л; рН 7.0 (37 °C); детергент; стабилизаторы R1 находится в позиции B, SR — в позиции C. Условия хранения: Срок хранения при 2 8 °C: См. срок годности на упаковке кассеты cobas c pack Система COBAS INTEGRA 400 plus При использовании на борту анализатора при 10 15 °C 12 недель</w:t>
            </w:r>
          </w:p>
        </w:tc>
      </w:tr>
    </w:tbl>
    <w:p w:rsidR="00E90306" w:rsidRDefault="00E90306" w:rsidP="00C6424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6424E" w:rsidRPr="00E31458" w:rsidRDefault="00884E2F" w:rsidP="00BC724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</w:t>
      </w:r>
      <w:r w:rsidR="00C6424E" w:rsidRPr="00E31458">
        <w:rPr>
          <w:rFonts w:ascii="Times New Roman" w:hAnsi="Times New Roman"/>
          <w:sz w:val="20"/>
          <w:szCs w:val="20"/>
        </w:rPr>
        <w:t xml:space="preserve">ена закупаемых товаров, перечень потенциальных поставщиков, представившие ценовые предложения в установленные сроки приведены в </w:t>
      </w:r>
      <w:r w:rsidR="00C6424E" w:rsidRPr="00E31458">
        <w:rPr>
          <w:rFonts w:ascii="Times New Roman" w:hAnsi="Times New Roman"/>
          <w:b/>
          <w:sz w:val="20"/>
          <w:szCs w:val="20"/>
        </w:rPr>
        <w:t>Приложении № 1</w:t>
      </w:r>
      <w:r w:rsidR="00C6424E" w:rsidRPr="00E31458">
        <w:rPr>
          <w:rFonts w:ascii="Times New Roman" w:hAnsi="Times New Roman"/>
          <w:sz w:val="20"/>
          <w:szCs w:val="20"/>
        </w:rPr>
        <w:t xml:space="preserve"> к настоящему Протоколу.</w:t>
      </w:r>
    </w:p>
    <w:p w:rsidR="00C6424E" w:rsidRPr="00E31458" w:rsidRDefault="00C6424E" w:rsidP="00BC724E">
      <w:pPr>
        <w:tabs>
          <w:tab w:val="left" w:pos="7485"/>
        </w:tabs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kk-KZ" w:eastAsia="en-US"/>
        </w:rPr>
      </w:pPr>
      <w:r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>3.</w:t>
      </w:r>
      <w:r w:rsidRPr="00E31458">
        <w:rPr>
          <w:rFonts w:ascii="Times New Roman" w:eastAsia="Calibri" w:hAnsi="Times New Roman"/>
          <w:b/>
          <w:sz w:val="20"/>
          <w:szCs w:val="20"/>
          <w:lang w:val="kk-KZ" w:eastAsia="en-US"/>
        </w:rPr>
        <w:t xml:space="preserve"> </w:t>
      </w:r>
      <w:r w:rsidRPr="00E31458">
        <w:rPr>
          <w:rFonts w:ascii="Times New Roman" w:eastAsia="Calibri" w:hAnsi="Times New Roman"/>
          <w:sz w:val="20"/>
          <w:szCs w:val="20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9B70DE" w:rsidRPr="009B70DE">
        <w:rPr>
          <w:rFonts w:ascii="Times New Roman" w:eastAsia="Calibri" w:hAnsi="Times New Roman"/>
          <w:sz w:val="20"/>
          <w:szCs w:val="20"/>
          <w:lang w:val="kk-KZ" w:eastAsia="en-US"/>
        </w:rPr>
        <w:t xml:space="preserve">ИП </w:t>
      </w:r>
      <w:r w:rsidR="009B70DE">
        <w:rPr>
          <w:rFonts w:ascii="Times New Roman" w:eastAsia="Calibri" w:hAnsi="Times New Roman"/>
          <w:sz w:val="20"/>
          <w:szCs w:val="20"/>
          <w:lang w:val="kk-KZ" w:eastAsia="en-US"/>
        </w:rPr>
        <w:t>«</w:t>
      </w:r>
      <w:r w:rsidR="009B70DE" w:rsidRPr="009B70DE">
        <w:rPr>
          <w:rFonts w:ascii="Times New Roman" w:eastAsia="Calibri" w:hAnsi="Times New Roman"/>
          <w:sz w:val="20"/>
          <w:szCs w:val="20"/>
          <w:lang w:val="kk-KZ" w:eastAsia="en-US"/>
        </w:rPr>
        <w:t>Leon Company</w:t>
      </w:r>
      <w:r w:rsidR="009B70DE">
        <w:rPr>
          <w:rFonts w:ascii="Times New Roman" w:eastAsia="Calibri" w:hAnsi="Times New Roman"/>
          <w:sz w:val="20"/>
          <w:szCs w:val="20"/>
          <w:lang w:val="kk-KZ" w:eastAsia="en-US"/>
        </w:rPr>
        <w:t>» - Каминский М.В.</w:t>
      </w:r>
      <w:r w:rsidR="00615643">
        <w:rPr>
          <w:rFonts w:ascii="Times New Roman" w:eastAsia="Calibri" w:hAnsi="Times New Roman"/>
          <w:sz w:val="20"/>
          <w:szCs w:val="20"/>
          <w:lang w:val="kk-KZ" w:eastAsia="en-US"/>
        </w:rPr>
        <w:t xml:space="preserve">, </w:t>
      </w:r>
      <w:r w:rsidR="00615643" w:rsidRPr="00615643">
        <w:rPr>
          <w:rFonts w:ascii="Times New Roman" w:eastAsia="Calibri" w:hAnsi="Times New Roman"/>
          <w:sz w:val="20"/>
          <w:szCs w:val="20"/>
          <w:lang w:val="kk-KZ" w:eastAsia="en-US"/>
        </w:rPr>
        <w:t xml:space="preserve">ТОО </w:t>
      </w:r>
      <w:r w:rsidR="00615643">
        <w:rPr>
          <w:rFonts w:ascii="Times New Roman" w:eastAsia="Calibri" w:hAnsi="Times New Roman"/>
          <w:sz w:val="20"/>
          <w:szCs w:val="20"/>
          <w:lang w:val="kk-KZ" w:eastAsia="en-US"/>
        </w:rPr>
        <w:t>«</w:t>
      </w:r>
      <w:r w:rsidR="00615643" w:rsidRPr="00615643">
        <w:rPr>
          <w:rFonts w:ascii="Times New Roman" w:eastAsia="Calibri" w:hAnsi="Times New Roman"/>
          <w:sz w:val="20"/>
          <w:szCs w:val="20"/>
          <w:lang w:val="kk-KZ" w:eastAsia="en-US"/>
        </w:rPr>
        <w:t>ТЦ Мастер</w:t>
      </w:r>
      <w:r w:rsidR="00615643">
        <w:rPr>
          <w:rFonts w:ascii="Times New Roman" w:eastAsia="Calibri" w:hAnsi="Times New Roman"/>
          <w:sz w:val="20"/>
          <w:szCs w:val="20"/>
          <w:lang w:val="kk-KZ" w:eastAsia="en-US"/>
        </w:rPr>
        <w:t>» - Кажкенов Д.К.;</w:t>
      </w:r>
    </w:p>
    <w:p w:rsidR="00C6424E" w:rsidRPr="00E31458" w:rsidRDefault="00C6424E" w:rsidP="00BC724E">
      <w:pPr>
        <w:tabs>
          <w:tab w:val="left" w:pos="7485"/>
        </w:tabs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kk-KZ" w:eastAsia="en-US"/>
        </w:rPr>
      </w:pPr>
      <w:r w:rsidRPr="00E31458">
        <w:rPr>
          <w:rFonts w:ascii="Times New Roman" w:eastAsia="Calibri" w:hAnsi="Times New Roman"/>
          <w:sz w:val="20"/>
          <w:szCs w:val="20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8441E" w:rsidRPr="003E3E09" w:rsidRDefault="00021D01" w:rsidP="0078441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1) </w:t>
      </w:r>
      <w:r w:rsidR="0078441E" w:rsidRPr="0078441E">
        <w:rPr>
          <w:rFonts w:ascii="Times New Roman" w:hAnsi="Times New Roman"/>
          <w:sz w:val="20"/>
          <w:szCs w:val="20"/>
          <w:lang w:val="kk-KZ"/>
        </w:rPr>
        <w:t xml:space="preserve">По лотам </w:t>
      </w:r>
      <w:r w:rsidR="0078441E" w:rsidRPr="003E3E09">
        <w:rPr>
          <w:rFonts w:ascii="Times New Roman" w:hAnsi="Times New Roman"/>
          <w:sz w:val="20"/>
          <w:szCs w:val="20"/>
          <w:lang w:val="kk-KZ"/>
        </w:rPr>
        <w:t>№11,21,25</w:t>
      </w:r>
      <w:r w:rsidR="003E3E09" w:rsidRPr="003E3E09">
        <w:rPr>
          <w:rFonts w:ascii="Times New Roman" w:hAnsi="Times New Roman"/>
          <w:sz w:val="20"/>
          <w:szCs w:val="20"/>
          <w:lang w:val="kk-KZ"/>
        </w:rPr>
        <w:t>,</w:t>
      </w:r>
      <w:r w:rsidR="0078441E" w:rsidRPr="003E3E09">
        <w:rPr>
          <w:rFonts w:ascii="Times New Roman" w:hAnsi="Times New Roman"/>
          <w:sz w:val="20"/>
          <w:szCs w:val="20"/>
          <w:lang w:val="kk-KZ"/>
        </w:rPr>
        <w:t xml:space="preserve">50 ТОО «Maxima Group» </w:t>
      </w:r>
      <w:r w:rsidR="0078441E" w:rsidRPr="003E3E09">
        <w:rPr>
          <w:rFonts w:ascii="Times New Roman" w:hAnsi="Times New Roman"/>
          <w:sz w:val="20"/>
          <w:szCs w:val="20"/>
        </w:rPr>
        <w:t>г. Астана, р-н Байконур ул. Пушкина. д.2 кв.29</w:t>
      </w:r>
      <w:r w:rsidR="00DA20A8" w:rsidRPr="003E3E09">
        <w:rPr>
          <w:rFonts w:ascii="Times New Roman" w:hAnsi="Times New Roman"/>
          <w:sz w:val="20"/>
          <w:szCs w:val="20"/>
        </w:rPr>
        <w:t>, цена договора - 2 610 036,00 тенге;</w:t>
      </w:r>
    </w:p>
    <w:p w:rsidR="0078441E" w:rsidRPr="003E3E09" w:rsidRDefault="005545CF" w:rsidP="0078441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3E3E09">
        <w:rPr>
          <w:rFonts w:ascii="Times New Roman" w:hAnsi="Times New Roman"/>
          <w:sz w:val="20"/>
          <w:szCs w:val="20"/>
          <w:lang w:val="kk-KZ"/>
        </w:rPr>
        <w:t>2) По лотам №22,23,26</w:t>
      </w:r>
      <w:r w:rsidRPr="003E3E09">
        <w:t xml:space="preserve"> </w:t>
      </w:r>
      <w:r w:rsidRPr="003E3E09">
        <w:rPr>
          <w:rFonts w:ascii="Times New Roman" w:hAnsi="Times New Roman"/>
          <w:sz w:val="20"/>
          <w:szCs w:val="20"/>
          <w:lang w:val="kk-KZ"/>
        </w:rPr>
        <w:t xml:space="preserve">ТОО «БионМедСервис» г.Караганда, пр-т Строителей строение 6, цена договора </w:t>
      </w:r>
      <w:r w:rsidR="0098224A" w:rsidRPr="003E3E09">
        <w:rPr>
          <w:rFonts w:ascii="Times New Roman" w:hAnsi="Times New Roman"/>
          <w:sz w:val="20"/>
          <w:szCs w:val="20"/>
          <w:lang w:val="kk-KZ"/>
        </w:rPr>
        <w:t>–</w:t>
      </w:r>
      <w:r w:rsidRPr="003E3E09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F56DD" w:rsidRPr="003E3E09">
        <w:rPr>
          <w:rFonts w:ascii="Times New Roman" w:hAnsi="Times New Roman"/>
          <w:sz w:val="20"/>
          <w:szCs w:val="20"/>
          <w:lang w:val="kk-KZ"/>
        </w:rPr>
        <w:t>328 500,00 тенге;</w:t>
      </w:r>
    </w:p>
    <w:p w:rsidR="0098224A" w:rsidRPr="003E3E09" w:rsidRDefault="0098224A" w:rsidP="0078441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3E3E09">
        <w:rPr>
          <w:rFonts w:ascii="Times New Roman" w:hAnsi="Times New Roman"/>
          <w:sz w:val="20"/>
          <w:szCs w:val="20"/>
          <w:lang w:val="kk-KZ"/>
        </w:rPr>
        <w:t>3) По лотам №9,14,20,36,37,38,41,46,48,49,51 ТОО «ЛюксТест» г.Караганда, ул.Муканова, строение 18/7, цена договора -  17 403 512,00 тенге;</w:t>
      </w:r>
    </w:p>
    <w:p w:rsidR="00A64DA5" w:rsidRPr="003E3E09" w:rsidRDefault="00A64DA5" w:rsidP="0078441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3E3E09">
        <w:rPr>
          <w:rFonts w:ascii="Times New Roman" w:hAnsi="Times New Roman"/>
          <w:sz w:val="20"/>
          <w:szCs w:val="20"/>
          <w:lang w:val="kk-KZ"/>
        </w:rPr>
        <w:t>4) По лотам №1,2,3,5,6,12,13,17,18,19,40,57 ТОО «ТЦ Мастер» г.Кокшетау, ул.Акана серы, 100, цена договора - 5 358 874,00 тенге;</w:t>
      </w:r>
    </w:p>
    <w:p w:rsidR="009618B6" w:rsidRPr="003E3E09" w:rsidRDefault="009618B6" w:rsidP="0078441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3E3E09">
        <w:rPr>
          <w:rFonts w:ascii="Times New Roman" w:hAnsi="Times New Roman"/>
          <w:sz w:val="20"/>
          <w:szCs w:val="20"/>
          <w:lang w:val="kk-KZ"/>
        </w:rPr>
        <w:t>5) По лотам №4,10,24,27,28,30,34,47,52,53,54,55,56 ИП «Leon Company» Акмолинская обл., г.Кокшетау ул.Акан серы, 206 каб.10, цена договора - 33 686 000,00;</w:t>
      </w:r>
    </w:p>
    <w:p w:rsidR="009E7C4F" w:rsidRPr="003E3E09" w:rsidRDefault="00350C64" w:rsidP="00A974C8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3E3E09">
        <w:rPr>
          <w:rFonts w:ascii="Times New Roman" w:hAnsi="Times New Roman"/>
          <w:sz w:val="20"/>
          <w:szCs w:val="20"/>
          <w:lang w:val="kk-KZ"/>
        </w:rPr>
        <w:t xml:space="preserve">3) По лотам №1-27 ТОО «Мелиор </w:t>
      </w:r>
      <w:r w:rsidRPr="003E3E09">
        <w:rPr>
          <w:rFonts w:ascii="Times New Roman" w:hAnsi="Times New Roman"/>
          <w:sz w:val="20"/>
          <w:szCs w:val="20"/>
          <w:lang w:val="en-US"/>
        </w:rPr>
        <w:t>LTD</w:t>
      </w:r>
      <w:r w:rsidRPr="003E3E09">
        <w:rPr>
          <w:rFonts w:ascii="Times New Roman" w:hAnsi="Times New Roman"/>
          <w:sz w:val="20"/>
          <w:szCs w:val="20"/>
        </w:rPr>
        <w:t>», ТОО «Дельрус Казахстан» отклонены,</w:t>
      </w:r>
      <w:r w:rsidR="0050390C" w:rsidRPr="003E3E09">
        <w:rPr>
          <w:sz w:val="20"/>
          <w:szCs w:val="20"/>
        </w:rPr>
        <w:t xml:space="preserve"> </w:t>
      </w:r>
      <w:r w:rsidR="0050390C" w:rsidRPr="003E3E09">
        <w:rPr>
          <w:rFonts w:ascii="Times New Roman" w:hAnsi="Times New Roman"/>
          <w:sz w:val="20"/>
          <w:szCs w:val="20"/>
        </w:rPr>
        <w:t>так как</w:t>
      </w:r>
      <w:r w:rsidR="0050390C" w:rsidRPr="003E3E09">
        <w:rPr>
          <w:sz w:val="20"/>
          <w:szCs w:val="20"/>
        </w:rPr>
        <w:t xml:space="preserve"> </w:t>
      </w:r>
      <w:r w:rsidR="0050390C" w:rsidRPr="003E3E09">
        <w:rPr>
          <w:rFonts w:ascii="Times New Roman" w:hAnsi="Times New Roman"/>
          <w:sz w:val="20"/>
          <w:szCs w:val="20"/>
        </w:rPr>
        <w:t>ценов</w:t>
      </w:r>
      <w:r w:rsidR="00A232EB">
        <w:rPr>
          <w:rFonts w:ascii="Times New Roman" w:hAnsi="Times New Roman"/>
          <w:sz w:val="20"/>
          <w:szCs w:val="20"/>
        </w:rPr>
        <w:t>ы</w:t>
      </w:r>
      <w:r w:rsidR="0050390C" w:rsidRPr="003E3E09">
        <w:rPr>
          <w:rFonts w:ascii="Times New Roman" w:hAnsi="Times New Roman"/>
          <w:sz w:val="20"/>
          <w:szCs w:val="20"/>
        </w:rPr>
        <w:t>е предложени</w:t>
      </w:r>
      <w:r w:rsidR="00A232EB">
        <w:rPr>
          <w:rFonts w:ascii="Times New Roman" w:hAnsi="Times New Roman"/>
          <w:sz w:val="20"/>
          <w:szCs w:val="20"/>
        </w:rPr>
        <w:t>я</w:t>
      </w:r>
      <w:r w:rsidR="0050390C" w:rsidRPr="003E3E09">
        <w:rPr>
          <w:rFonts w:ascii="Times New Roman" w:hAnsi="Times New Roman"/>
          <w:sz w:val="20"/>
          <w:szCs w:val="20"/>
        </w:rPr>
        <w:t xml:space="preserve"> потенциальных поставщиков превышает выделенной суммы, наименовани</w:t>
      </w:r>
      <w:r w:rsidR="004D6ABB">
        <w:rPr>
          <w:rFonts w:ascii="Times New Roman" w:hAnsi="Times New Roman"/>
          <w:sz w:val="20"/>
          <w:szCs w:val="20"/>
        </w:rPr>
        <w:t>я</w:t>
      </w:r>
      <w:r w:rsidR="0050390C" w:rsidRPr="003E3E09">
        <w:rPr>
          <w:rFonts w:ascii="Times New Roman" w:hAnsi="Times New Roman"/>
          <w:sz w:val="20"/>
          <w:szCs w:val="20"/>
        </w:rPr>
        <w:t xml:space="preserve"> лотов в ценовом предложений не соответствуют объявлению; </w:t>
      </w:r>
      <w:r w:rsidRPr="003E3E09">
        <w:rPr>
          <w:rFonts w:ascii="Times New Roman" w:hAnsi="Times New Roman"/>
          <w:sz w:val="20"/>
          <w:szCs w:val="20"/>
        </w:rPr>
        <w:t xml:space="preserve"> </w:t>
      </w:r>
    </w:p>
    <w:p w:rsidR="00954B87" w:rsidRPr="00E31458" w:rsidRDefault="00D41DF4" w:rsidP="00BC72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3E3E09">
        <w:rPr>
          <w:rFonts w:ascii="Times New Roman" w:hAnsi="Times New Roman"/>
          <w:sz w:val="20"/>
          <w:szCs w:val="20"/>
          <w:lang w:val="kk-KZ"/>
        </w:rPr>
        <w:t>8</w:t>
      </w:r>
      <w:r w:rsidR="009D0C85" w:rsidRPr="003E3E09">
        <w:rPr>
          <w:rFonts w:ascii="Times New Roman" w:hAnsi="Times New Roman"/>
          <w:sz w:val="20"/>
          <w:szCs w:val="20"/>
          <w:lang w:val="kk-KZ"/>
        </w:rPr>
        <w:t xml:space="preserve">) </w:t>
      </w:r>
      <w:r w:rsidRPr="003E3E09">
        <w:rPr>
          <w:rFonts w:ascii="Times New Roman" w:hAnsi="Times New Roman"/>
          <w:sz w:val="20"/>
          <w:szCs w:val="20"/>
          <w:lang w:val="kk-KZ"/>
        </w:rPr>
        <w:t>Л</w:t>
      </w:r>
      <w:r w:rsidR="00130774" w:rsidRPr="003E3E09">
        <w:rPr>
          <w:rFonts w:ascii="Times New Roman" w:hAnsi="Times New Roman"/>
          <w:sz w:val="20"/>
          <w:szCs w:val="20"/>
          <w:lang w:val="kk-KZ"/>
        </w:rPr>
        <w:t>от</w:t>
      </w:r>
      <w:r w:rsidR="00906460" w:rsidRPr="003E3E09">
        <w:rPr>
          <w:rFonts w:ascii="Times New Roman" w:hAnsi="Times New Roman"/>
          <w:sz w:val="20"/>
          <w:szCs w:val="20"/>
          <w:lang w:val="kk-KZ"/>
        </w:rPr>
        <w:t>ы</w:t>
      </w:r>
      <w:r w:rsidR="00130774" w:rsidRPr="003E3E09">
        <w:rPr>
          <w:rFonts w:ascii="Times New Roman" w:hAnsi="Times New Roman"/>
          <w:sz w:val="20"/>
          <w:szCs w:val="20"/>
          <w:lang w:val="kk-KZ"/>
        </w:rPr>
        <w:t xml:space="preserve"> №</w:t>
      </w:r>
      <w:r w:rsidR="003E3E09" w:rsidRPr="003E3E09">
        <w:rPr>
          <w:rFonts w:ascii="Times New Roman" w:hAnsi="Times New Roman"/>
          <w:sz w:val="20"/>
          <w:szCs w:val="20"/>
          <w:lang w:val="kk-KZ"/>
        </w:rPr>
        <w:t xml:space="preserve">7,8,15,16,29,31,32,33,35,39,42,43,44,45 </w:t>
      </w:r>
      <w:r w:rsidR="00B17E8C" w:rsidRPr="003E3E09">
        <w:rPr>
          <w:rFonts w:ascii="Times New Roman" w:hAnsi="Times New Roman"/>
          <w:sz w:val="20"/>
          <w:szCs w:val="20"/>
          <w:lang w:val="kk-KZ"/>
        </w:rPr>
        <w:t>признан</w:t>
      </w:r>
      <w:r w:rsidR="00906460" w:rsidRPr="003E3E09">
        <w:rPr>
          <w:rFonts w:ascii="Times New Roman" w:hAnsi="Times New Roman"/>
          <w:sz w:val="20"/>
          <w:szCs w:val="20"/>
          <w:lang w:val="kk-KZ"/>
        </w:rPr>
        <w:t>ы</w:t>
      </w:r>
      <w:r w:rsidR="000D144D" w:rsidRPr="003E3E09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D144D">
        <w:rPr>
          <w:rFonts w:ascii="Times New Roman" w:hAnsi="Times New Roman"/>
          <w:sz w:val="20"/>
          <w:szCs w:val="20"/>
          <w:lang w:val="kk-KZ"/>
        </w:rPr>
        <w:t>несостоявшимися.</w:t>
      </w:r>
    </w:p>
    <w:p w:rsidR="00C6424E" w:rsidRPr="00E31458" w:rsidRDefault="00C6424E" w:rsidP="00BC72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kk-KZ" w:eastAsia="en-US"/>
        </w:rPr>
      </w:pPr>
      <w:r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</w:t>
      </w:r>
      <w:r w:rsidR="00D77DC6"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>141</w:t>
      </w:r>
      <w:r w:rsidR="00D63362" w:rsidRPr="00E31458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Default="00C6424E" w:rsidP="00BC724E">
      <w:pPr>
        <w:tabs>
          <w:tab w:val="left" w:pos="7485"/>
        </w:tabs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kk-KZ" w:eastAsia="en-US"/>
        </w:rPr>
      </w:pPr>
      <w:r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 xml:space="preserve">6. Отделу закупок обеспечить исполнение настоящего протокола в порядке и сроки, установленные главой </w:t>
      </w:r>
      <w:r w:rsidR="006B6763"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>10</w:t>
      </w:r>
      <w:r w:rsidRPr="00E31458">
        <w:rPr>
          <w:rFonts w:ascii="Times New Roman" w:eastAsiaTheme="minorHAnsi" w:hAnsi="Times New Roman"/>
          <w:sz w:val="20"/>
          <w:szCs w:val="20"/>
          <w:lang w:val="kk-KZ" w:eastAsia="en-US"/>
        </w:rPr>
        <w:t xml:space="preserve"> Правил. </w:t>
      </w:r>
    </w:p>
    <w:p w:rsidR="00F31065" w:rsidRPr="00E31458" w:rsidRDefault="00F31065" w:rsidP="00BC7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C6424E" w:rsidRPr="00E31458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BF47A5" w:rsidRPr="00E31458" w:rsidRDefault="00771BA3" w:rsidP="0090646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E31458">
        <w:rPr>
          <w:rFonts w:ascii="Times New Roman" w:hAnsi="Times New Roman"/>
          <w:b/>
          <w:sz w:val="20"/>
          <w:szCs w:val="20"/>
          <w:lang w:val="kk-KZ"/>
        </w:rPr>
        <w:t xml:space="preserve">     </w:t>
      </w:r>
      <w:r w:rsidR="00B45AB8" w:rsidRPr="00E31458"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</w:t>
      </w:r>
      <w:r w:rsidR="00BF47A5" w:rsidRPr="00E31458">
        <w:rPr>
          <w:rFonts w:ascii="Times New Roman" w:hAnsi="Times New Roman"/>
          <w:b/>
          <w:sz w:val="20"/>
          <w:szCs w:val="20"/>
        </w:rPr>
        <w:t>Заместитель председателя правления</w:t>
      </w:r>
    </w:p>
    <w:p w:rsidR="00BF47A5" w:rsidRPr="00E31458" w:rsidRDefault="00BF47A5" w:rsidP="00BF47A5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E31458">
        <w:rPr>
          <w:rFonts w:ascii="Times New Roman" w:hAnsi="Times New Roman"/>
          <w:b/>
          <w:sz w:val="20"/>
          <w:szCs w:val="20"/>
        </w:rPr>
        <w:t xml:space="preserve">        </w:t>
      </w:r>
      <w:r w:rsidR="00C709FA" w:rsidRPr="00E31458">
        <w:rPr>
          <w:rFonts w:ascii="Times New Roman" w:hAnsi="Times New Roman"/>
          <w:b/>
          <w:sz w:val="20"/>
          <w:szCs w:val="20"/>
        </w:rPr>
        <w:t xml:space="preserve">           </w:t>
      </w:r>
      <w:r w:rsidRPr="00E31458">
        <w:rPr>
          <w:rFonts w:ascii="Times New Roman" w:hAnsi="Times New Roman"/>
          <w:b/>
          <w:sz w:val="20"/>
          <w:szCs w:val="20"/>
        </w:rPr>
        <w:t xml:space="preserve"> </w:t>
      </w:r>
      <w:r w:rsidR="00C709FA" w:rsidRPr="00E31458">
        <w:rPr>
          <w:rFonts w:ascii="Times New Roman" w:hAnsi="Times New Roman"/>
          <w:b/>
          <w:sz w:val="20"/>
          <w:szCs w:val="20"/>
        </w:rPr>
        <w:t xml:space="preserve">        </w:t>
      </w:r>
      <w:r w:rsidRPr="00E31458">
        <w:rPr>
          <w:rFonts w:ascii="Times New Roman" w:hAnsi="Times New Roman"/>
          <w:b/>
          <w:sz w:val="20"/>
          <w:szCs w:val="20"/>
        </w:rPr>
        <w:t xml:space="preserve"> </w:t>
      </w:r>
      <w:r w:rsidR="00B45AB8" w:rsidRPr="00E31458">
        <w:rPr>
          <w:rFonts w:ascii="Times New Roman" w:hAnsi="Times New Roman"/>
          <w:b/>
          <w:sz w:val="20"/>
          <w:szCs w:val="20"/>
        </w:rPr>
        <w:t xml:space="preserve">   </w:t>
      </w:r>
      <w:r w:rsidRPr="00E31458">
        <w:rPr>
          <w:rFonts w:ascii="Times New Roman" w:hAnsi="Times New Roman"/>
          <w:b/>
          <w:sz w:val="20"/>
          <w:szCs w:val="20"/>
        </w:rPr>
        <w:t xml:space="preserve">по медицинской деятельности                                                              </w:t>
      </w:r>
      <w:r w:rsidR="00C709FA" w:rsidRPr="00E31458"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 w:rsidRPr="00E31458">
        <w:rPr>
          <w:rFonts w:ascii="Times New Roman" w:hAnsi="Times New Roman"/>
          <w:b/>
          <w:sz w:val="20"/>
          <w:szCs w:val="20"/>
        </w:rPr>
        <w:t xml:space="preserve"> </w:t>
      </w:r>
      <w:r w:rsidRPr="00E31458">
        <w:rPr>
          <w:rFonts w:ascii="Times New Roman" w:hAnsi="Times New Roman"/>
          <w:b/>
          <w:sz w:val="20"/>
          <w:szCs w:val="20"/>
          <w:lang w:val="kk-KZ"/>
        </w:rPr>
        <w:t>Купенов Б.Г.</w:t>
      </w:r>
    </w:p>
    <w:p w:rsidR="00A2778E" w:rsidRPr="00E31458" w:rsidRDefault="00A2778E" w:rsidP="00EA563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460BEB" w:rsidRDefault="00460BEB" w:rsidP="00EA563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F31065" w:rsidRDefault="00F31065" w:rsidP="00EA563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F31065" w:rsidRDefault="00F31065" w:rsidP="00EA563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26E90" w:rsidRDefault="00626E90" w:rsidP="00EA563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26E90" w:rsidRPr="00E31458" w:rsidRDefault="00626E90" w:rsidP="00EA563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A2778E" w:rsidRPr="00E31458" w:rsidRDefault="007630CA" w:rsidP="00EA563B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 w:rsidRPr="00E31458">
        <w:rPr>
          <w:rFonts w:ascii="Times New Roman" w:hAnsi="Times New Roman"/>
          <w:sz w:val="16"/>
          <w:szCs w:val="16"/>
          <w:lang w:val="kk-KZ"/>
        </w:rPr>
        <w:t>Исп.</w:t>
      </w:r>
      <w:r w:rsidR="00E22912">
        <w:rPr>
          <w:rFonts w:ascii="Times New Roman" w:hAnsi="Times New Roman"/>
          <w:sz w:val="16"/>
          <w:szCs w:val="16"/>
          <w:lang w:val="kk-KZ"/>
        </w:rPr>
        <w:t xml:space="preserve"> Исабекова М.Т.</w:t>
      </w:r>
    </w:p>
    <w:p w:rsidR="00A2778E" w:rsidRPr="00E31458" w:rsidRDefault="007630CA" w:rsidP="0043013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31458">
        <w:rPr>
          <w:rFonts w:ascii="Times New Roman" w:hAnsi="Times New Roman"/>
          <w:sz w:val="16"/>
          <w:szCs w:val="16"/>
          <w:lang w:val="kk-KZ"/>
        </w:rPr>
        <w:t>Тел.23-21-50</w:t>
      </w:r>
      <w:r w:rsidR="00A2778E" w:rsidRPr="00E31458">
        <w:rPr>
          <w:rFonts w:ascii="Times New Roman" w:hAnsi="Times New Roman"/>
          <w:sz w:val="20"/>
          <w:szCs w:val="20"/>
        </w:rPr>
        <w:t xml:space="preserve">                                                 </w:t>
      </w:r>
    </w:p>
    <w:sectPr w:rsidR="00A2778E" w:rsidRPr="00E31458" w:rsidSect="00962403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C94" w:rsidRDefault="006F3C94" w:rsidP="00EB133F">
      <w:pPr>
        <w:spacing w:after="0" w:line="240" w:lineRule="auto"/>
      </w:pPr>
      <w:r>
        <w:separator/>
      </w:r>
    </w:p>
  </w:endnote>
  <w:endnote w:type="continuationSeparator" w:id="0">
    <w:p w:rsidR="006F3C94" w:rsidRDefault="006F3C94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C94" w:rsidRDefault="006F3C94" w:rsidP="00EB133F">
      <w:pPr>
        <w:spacing w:after="0" w:line="240" w:lineRule="auto"/>
      </w:pPr>
      <w:r>
        <w:separator/>
      </w:r>
    </w:p>
  </w:footnote>
  <w:footnote w:type="continuationSeparator" w:id="0">
    <w:p w:rsidR="006F3C94" w:rsidRDefault="006F3C94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04613"/>
    <w:rsid w:val="00010340"/>
    <w:rsid w:val="00012695"/>
    <w:rsid w:val="000151F3"/>
    <w:rsid w:val="00021D01"/>
    <w:rsid w:val="00025989"/>
    <w:rsid w:val="00030CD2"/>
    <w:rsid w:val="00031B54"/>
    <w:rsid w:val="000353CD"/>
    <w:rsid w:val="000369C0"/>
    <w:rsid w:val="0003797D"/>
    <w:rsid w:val="00040012"/>
    <w:rsid w:val="000405E4"/>
    <w:rsid w:val="00041D48"/>
    <w:rsid w:val="00042660"/>
    <w:rsid w:val="00043086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6D7"/>
    <w:rsid w:val="00073A06"/>
    <w:rsid w:val="00073AEE"/>
    <w:rsid w:val="000746DA"/>
    <w:rsid w:val="00074B5E"/>
    <w:rsid w:val="00077EE8"/>
    <w:rsid w:val="000826D9"/>
    <w:rsid w:val="000856DE"/>
    <w:rsid w:val="00085978"/>
    <w:rsid w:val="00090E50"/>
    <w:rsid w:val="000932E1"/>
    <w:rsid w:val="000A1E8F"/>
    <w:rsid w:val="000A23EB"/>
    <w:rsid w:val="000A2CA5"/>
    <w:rsid w:val="000A5435"/>
    <w:rsid w:val="000B050E"/>
    <w:rsid w:val="000B1BB6"/>
    <w:rsid w:val="000B3DCB"/>
    <w:rsid w:val="000C175B"/>
    <w:rsid w:val="000C3E26"/>
    <w:rsid w:val="000C421D"/>
    <w:rsid w:val="000C55F8"/>
    <w:rsid w:val="000D144D"/>
    <w:rsid w:val="000D1AE4"/>
    <w:rsid w:val="000D2D9B"/>
    <w:rsid w:val="000D7100"/>
    <w:rsid w:val="000E00FA"/>
    <w:rsid w:val="000E1A14"/>
    <w:rsid w:val="000E27A8"/>
    <w:rsid w:val="000E5E81"/>
    <w:rsid w:val="000F3DAC"/>
    <w:rsid w:val="000F3FAE"/>
    <w:rsid w:val="000F47D8"/>
    <w:rsid w:val="000F55FB"/>
    <w:rsid w:val="000F56DD"/>
    <w:rsid w:val="000F5DBD"/>
    <w:rsid w:val="001037BD"/>
    <w:rsid w:val="001041C2"/>
    <w:rsid w:val="00104315"/>
    <w:rsid w:val="00105916"/>
    <w:rsid w:val="001062A9"/>
    <w:rsid w:val="001063AE"/>
    <w:rsid w:val="00106777"/>
    <w:rsid w:val="001077FB"/>
    <w:rsid w:val="00114AA0"/>
    <w:rsid w:val="001202F0"/>
    <w:rsid w:val="0012106E"/>
    <w:rsid w:val="00121DC6"/>
    <w:rsid w:val="00122931"/>
    <w:rsid w:val="0012668D"/>
    <w:rsid w:val="00126827"/>
    <w:rsid w:val="00127155"/>
    <w:rsid w:val="00130774"/>
    <w:rsid w:val="00130CC0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63409"/>
    <w:rsid w:val="0017713F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255"/>
    <w:rsid w:val="001A79F2"/>
    <w:rsid w:val="001B0E16"/>
    <w:rsid w:val="001B0F05"/>
    <w:rsid w:val="001B1A1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471F"/>
    <w:rsid w:val="00207214"/>
    <w:rsid w:val="002076E0"/>
    <w:rsid w:val="00207FBA"/>
    <w:rsid w:val="002169BE"/>
    <w:rsid w:val="00217AD3"/>
    <w:rsid w:val="00230D42"/>
    <w:rsid w:val="00231661"/>
    <w:rsid w:val="00233D42"/>
    <w:rsid w:val="00234300"/>
    <w:rsid w:val="00244D12"/>
    <w:rsid w:val="00245648"/>
    <w:rsid w:val="002478C9"/>
    <w:rsid w:val="00247C6A"/>
    <w:rsid w:val="0026057C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7BA"/>
    <w:rsid w:val="00291987"/>
    <w:rsid w:val="00291A14"/>
    <w:rsid w:val="00292F08"/>
    <w:rsid w:val="00292FF5"/>
    <w:rsid w:val="00296F52"/>
    <w:rsid w:val="00297812"/>
    <w:rsid w:val="002A1E5D"/>
    <w:rsid w:val="002A2197"/>
    <w:rsid w:val="002A2CE7"/>
    <w:rsid w:val="002A3EA2"/>
    <w:rsid w:val="002A544B"/>
    <w:rsid w:val="002A5F75"/>
    <w:rsid w:val="002A7352"/>
    <w:rsid w:val="002B2DDC"/>
    <w:rsid w:val="002B5430"/>
    <w:rsid w:val="002B7542"/>
    <w:rsid w:val="002C18D6"/>
    <w:rsid w:val="002C4940"/>
    <w:rsid w:val="002C6998"/>
    <w:rsid w:val="002D2F39"/>
    <w:rsid w:val="002E0583"/>
    <w:rsid w:val="002E0C2D"/>
    <w:rsid w:val="002E2CF9"/>
    <w:rsid w:val="002F22CC"/>
    <w:rsid w:val="002F4FFA"/>
    <w:rsid w:val="002F5A4E"/>
    <w:rsid w:val="002F5EEB"/>
    <w:rsid w:val="002F6DEF"/>
    <w:rsid w:val="00300679"/>
    <w:rsid w:val="00300838"/>
    <w:rsid w:val="003020DD"/>
    <w:rsid w:val="003027BD"/>
    <w:rsid w:val="0030439E"/>
    <w:rsid w:val="003136A5"/>
    <w:rsid w:val="003145DF"/>
    <w:rsid w:val="00317340"/>
    <w:rsid w:val="0032087F"/>
    <w:rsid w:val="003235B8"/>
    <w:rsid w:val="003301EE"/>
    <w:rsid w:val="00331530"/>
    <w:rsid w:val="00332345"/>
    <w:rsid w:val="0033253F"/>
    <w:rsid w:val="00336574"/>
    <w:rsid w:val="00336927"/>
    <w:rsid w:val="0033786D"/>
    <w:rsid w:val="003433C0"/>
    <w:rsid w:val="00345A7A"/>
    <w:rsid w:val="00350C64"/>
    <w:rsid w:val="00351BA0"/>
    <w:rsid w:val="0036237C"/>
    <w:rsid w:val="00362671"/>
    <w:rsid w:val="00375DA9"/>
    <w:rsid w:val="003763DC"/>
    <w:rsid w:val="0038070B"/>
    <w:rsid w:val="00381747"/>
    <w:rsid w:val="00382873"/>
    <w:rsid w:val="003832DB"/>
    <w:rsid w:val="003835ED"/>
    <w:rsid w:val="00385B73"/>
    <w:rsid w:val="00390AA1"/>
    <w:rsid w:val="00390EE0"/>
    <w:rsid w:val="003913BB"/>
    <w:rsid w:val="00393BC3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2FD1"/>
    <w:rsid w:val="003C45C4"/>
    <w:rsid w:val="003D0A54"/>
    <w:rsid w:val="003D1632"/>
    <w:rsid w:val="003D1E15"/>
    <w:rsid w:val="003D5CCC"/>
    <w:rsid w:val="003D7ABE"/>
    <w:rsid w:val="003E01B6"/>
    <w:rsid w:val="003E099D"/>
    <w:rsid w:val="003E2EC7"/>
    <w:rsid w:val="003E3E09"/>
    <w:rsid w:val="003E489D"/>
    <w:rsid w:val="003E7A7F"/>
    <w:rsid w:val="003F1020"/>
    <w:rsid w:val="003F2413"/>
    <w:rsid w:val="003F3CCE"/>
    <w:rsid w:val="003F7B84"/>
    <w:rsid w:val="00401165"/>
    <w:rsid w:val="00405C51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0136"/>
    <w:rsid w:val="00430FB2"/>
    <w:rsid w:val="0043248A"/>
    <w:rsid w:val="00440FF6"/>
    <w:rsid w:val="00441997"/>
    <w:rsid w:val="004462B4"/>
    <w:rsid w:val="004462B7"/>
    <w:rsid w:val="00450641"/>
    <w:rsid w:val="004537D9"/>
    <w:rsid w:val="00453E24"/>
    <w:rsid w:val="004550F8"/>
    <w:rsid w:val="00460BEB"/>
    <w:rsid w:val="00461EBE"/>
    <w:rsid w:val="00463473"/>
    <w:rsid w:val="00463584"/>
    <w:rsid w:val="00463630"/>
    <w:rsid w:val="0046420C"/>
    <w:rsid w:val="004662BA"/>
    <w:rsid w:val="004711E8"/>
    <w:rsid w:val="00473030"/>
    <w:rsid w:val="004732F3"/>
    <w:rsid w:val="004740BB"/>
    <w:rsid w:val="0047600F"/>
    <w:rsid w:val="00480F00"/>
    <w:rsid w:val="004819CA"/>
    <w:rsid w:val="00482B97"/>
    <w:rsid w:val="00482E2B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0651"/>
    <w:rsid w:val="004C0ECC"/>
    <w:rsid w:val="004C3D49"/>
    <w:rsid w:val="004C467E"/>
    <w:rsid w:val="004C56EA"/>
    <w:rsid w:val="004C5D9C"/>
    <w:rsid w:val="004D25BA"/>
    <w:rsid w:val="004D315F"/>
    <w:rsid w:val="004D6347"/>
    <w:rsid w:val="004D6ABB"/>
    <w:rsid w:val="004D713A"/>
    <w:rsid w:val="004E028F"/>
    <w:rsid w:val="004E0CB3"/>
    <w:rsid w:val="004E18D9"/>
    <w:rsid w:val="004E2F3E"/>
    <w:rsid w:val="004E3368"/>
    <w:rsid w:val="004E52FA"/>
    <w:rsid w:val="004E742E"/>
    <w:rsid w:val="004F2FB5"/>
    <w:rsid w:val="004F3A61"/>
    <w:rsid w:val="004F3C8A"/>
    <w:rsid w:val="004F461D"/>
    <w:rsid w:val="004F5057"/>
    <w:rsid w:val="004F54E6"/>
    <w:rsid w:val="004F6DBF"/>
    <w:rsid w:val="00503459"/>
    <w:rsid w:val="0050390C"/>
    <w:rsid w:val="005050E9"/>
    <w:rsid w:val="005064DE"/>
    <w:rsid w:val="005101C6"/>
    <w:rsid w:val="00510A32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60F4"/>
    <w:rsid w:val="00547758"/>
    <w:rsid w:val="00547866"/>
    <w:rsid w:val="0055167A"/>
    <w:rsid w:val="00551F23"/>
    <w:rsid w:val="0055421C"/>
    <w:rsid w:val="005545CF"/>
    <w:rsid w:val="005550EF"/>
    <w:rsid w:val="00560E65"/>
    <w:rsid w:val="0056172C"/>
    <w:rsid w:val="00563CEE"/>
    <w:rsid w:val="00563D06"/>
    <w:rsid w:val="005640FB"/>
    <w:rsid w:val="00565EE2"/>
    <w:rsid w:val="00566217"/>
    <w:rsid w:val="005703DB"/>
    <w:rsid w:val="00570ABE"/>
    <w:rsid w:val="00571507"/>
    <w:rsid w:val="00571573"/>
    <w:rsid w:val="00572D99"/>
    <w:rsid w:val="00575229"/>
    <w:rsid w:val="005752D0"/>
    <w:rsid w:val="005762FE"/>
    <w:rsid w:val="005817A0"/>
    <w:rsid w:val="005827C1"/>
    <w:rsid w:val="00583D88"/>
    <w:rsid w:val="005876B9"/>
    <w:rsid w:val="00592C46"/>
    <w:rsid w:val="00594A6F"/>
    <w:rsid w:val="005954AA"/>
    <w:rsid w:val="00597479"/>
    <w:rsid w:val="005A238C"/>
    <w:rsid w:val="005A58A9"/>
    <w:rsid w:val="005A689F"/>
    <w:rsid w:val="005B0183"/>
    <w:rsid w:val="005B019C"/>
    <w:rsid w:val="005B3E0C"/>
    <w:rsid w:val="005B4AA7"/>
    <w:rsid w:val="005B4E87"/>
    <w:rsid w:val="005C1760"/>
    <w:rsid w:val="005C3235"/>
    <w:rsid w:val="005C427F"/>
    <w:rsid w:val="005C7B06"/>
    <w:rsid w:val="005D1517"/>
    <w:rsid w:val="005D447E"/>
    <w:rsid w:val="005D482F"/>
    <w:rsid w:val="005D5A53"/>
    <w:rsid w:val="005D614D"/>
    <w:rsid w:val="005D7C6F"/>
    <w:rsid w:val="005E0904"/>
    <w:rsid w:val="005E12BF"/>
    <w:rsid w:val="005E1ADB"/>
    <w:rsid w:val="005E34D5"/>
    <w:rsid w:val="005E4878"/>
    <w:rsid w:val="005E543D"/>
    <w:rsid w:val="005F17A8"/>
    <w:rsid w:val="005F3CAC"/>
    <w:rsid w:val="005F6645"/>
    <w:rsid w:val="005F72BF"/>
    <w:rsid w:val="005F79F7"/>
    <w:rsid w:val="005F7D43"/>
    <w:rsid w:val="00601E9A"/>
    <w:rsid w:val="0060698E"/>
    <w:rsid w:val="00610811"/>
    <w:rsid w:val="00611A2B"/>
    <w:rsid w:val="00611D1E"/>
    <w:rsid w:val="0061512B"/>
    <w:rsid w:val="00615643"/>
    <w:rsid w:val="00620608"/>
    <w:rsid w:val="00620CF9"/>
    <w:rsid w:val="00626E90"/>
    <w:rsid w:val="006301E7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56EFE"/>
    <w:rsid w:val="00666B13"/>
    <w:rsid w:val="00685B58"/>
    <w:rsid w:val="00690829"/>
    <w:rsid w:val="00691B64"/>
    <w:rsid w:val="0069307D"/>
    <w:rsid w:val="006A43C7"/>
    <w:rsid w:val="006B564F"/>
    <w:rsid w:val="006B6640"/>
    <w:rsid w:val="006B6763"/>
    <w:rsid w:val="006B6B7F"/>
    <w:rsid w:val="006C0238"/>
    <w:rsid w:val="006C079C"/>
    <w:rsid w:val="006C1DBA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3C94"/>
    <w:rsid w:val="006F56E5"/>
    <w:rsid w:val="006F5B02"/>
    <w:rsid w:val="0070136E"/>
    <w:rsid w:val="00701F87"/>
    <w:rsid w:val="00704CB6"/>
    <w:rsid w:val="00711B2C"/>
    <w:rsid w:val="007231FB"/>
    <w:rsid w:val="00724996"/>
    <w:rsid w:val="00727026"/>
    <w:rsid w:val="00730328"/>
    <w:rsid w:val="0073178F"/>
    <w:rsid w:val="00734AB1"/>
    <w:rsid w:val="0074039E"/>
    <w:rsid w:val="0074058C"/>
    <w:rsid w:val="00741FD0"/>
    <w:rsid w:val="0074311F"/>
    <w:rsid w:val="00747D8F"/>
    <w:rsid w:val="00751A2D"/>
    <w:rsid w:val="00751EFC"/>
    <w:rsid w:val="00751F50"/>
    <w:rsid w:val="00751FE8"/>
    <w:rsid w:val="00756C15"/>
    <w:rsid w:val="007576E4"/>
    <w:rsid w:val="0076070E"/>
    <w:rsid w:val="007630CA"/>
    <w:rsid w:val="00771BA3"/>
    <w:rsid w:val="00771F61"/>
    <w:rsid w:val="00773DCA"/>
    <w:rsid w:val="00777E8F"/>
    <w:rsid w:val="0078441E"/>
    <w:rsid w:val="00784E61"/>
    <w:rsid w:val="007853FF"/>
    <w:rsid w:val="007854DD"/>
    <w:rsid w:val="00787988"/>
    <w:rsid w:val="00791291"/>
    <w:rsid w:val="0079339F"/>
    <w:rsid w:val="00794AFE"/>
    <w:rsid w:val="00794D92"/>
    <w:rsid w:val="00797B6F"/>
    <w:rsid w:val="007A62EA"/>
    <w:rsid w:val="007B35E8"/>
    <w:rsid w:val="007B550B"/>
    <w:rsid w:val="007B5AD6"/>
    <w:rsid w:val="007B6F95"/>
    <w:rsid w:val="007B6FFD"/>
    <w:rsid w:val="007C2CC1"/>
    <w:rsid w:val="007C2DAF"/>
    <w:rsid w:val="007C3062"/>
    <w:rsid w:val="007C4820"/>
    <w:rsid w:val="007C7438"/>
    <w:rsid w:val="007C750A"/>
    <w:rsid w:val="007D3045"/>
    <w:rsid w:val="007D6E0A"/>
    <w:rsid w:val="007E116D"/>
    <w:rsid w:val="007E3C9F"/>
    <w:rsid w:val="007F0269"/>
    <w:rsid w:val="007F04DA"/>
    <w:rsid w:val="007F0764"/>
    <w:rsid w:val="007F3B6A"/>
    <w:rsid w:val="007F61B3"/>
    <w:rsid w:val="007F6E6C"/>
    <w:rsid w:val="007F7C10"/>
    <w:rsid w:val="008010A2"/>
    <w:rsid w:val="008013E8"/>
    <w:rsid w:val="00803A51"/>
    <w:rsid w:val="008045E5"/>
    <w:rsid w:val="00807C3C"/>
    <w:rsid w:val="008113AE"/>
    <w:rsid w:val="00814A41"/>
    <w:rsid w:val="00814ED8"/>
    <w:rsid w:val="00815A94"/>
    <w:rsid w:val="00815BD4"/>
    <w:rsid w:val="0081702C"/>
    <w:rsid w:val="008200C5"/>
    <w:rsid w:val="00820763"/>
    <w:rsid w:val="008215B9"/>
    <w:rsid w:val="008241B0"/>
    <w:rsid w:val="00825A86"/>
    <w:rsid w:val="00825F00"/>
    <w:rsid w:val="00831A09"/>
    <w:rsid w:val="00832A22"/>
    <w:rsid w:val="008337C0"/>
    <w:rsid w:val="008410D8"/>
    <w:rsid w:val="00843602"/>
    <w:rsid w:val="00844FE6"/>
    <w:rsid w:val="00847733"/>
    <w:rsid w:val="00850ADD"/>
    <w:rsid w:val="00853AAA"/>
    <w:rsid w:val="00854A39"/>
    <w:rsid w:val="00855BA5"/>
    <w:rsid w:val="00873126"/>
    <w:rsid w:val="00884E2F"/>
    <w:rsid w:val="0088505F"/>
    <w:rsid w:val="008943D8"/>
    <w:rsid w:val="00897022"/>
    <w:rsid w:val="008A3D78"/>
    <w:rsid w:val="008A7E1C"/>
    <w:rsid w:val="008B32C9"/>
    <w:rsid w:val="008B3D88"/>
    <w:rsid w:val="008B57D1"/>
    <w:rsid w:val="008B6D96"/>
    <w:rsid w:val="008C04D6"/>
    <w:rsid w:val="008C1879"/>
    <w:rsid w:val="008C68C5"/>
    <w:rsid w:val="008C7907"/>
    <w:rsid w:val="008D04FA"/>
    <w:rsid w:val="008D269A"/>
    <w:rsid w:val="008D2A1D"/>
    <w:rsid w:val="008D4322"/>
    <w:rsid w:val="008D511B"/>
    <w:rsid w:val="008D759F"/>
    <w:rsid w:val="008E0FAF"/>
    <w:rsid w:val="008E1858"/>
    <w:rsid w:val="008E188A"/>
    <w:rsid w:val="008E3CF8"/>
    <w:rsid w:val="008E67F4"/>
    <w:rsid w:val="008E6C25"/>
    <w:rsid w:val="008F00FA"/>
    <w:rsid w:val="008F5C2C"/>
    <w:rsid w:val="008F6768"/>
    <w:rsid w:val="008F7BCC"/>
    <w:rsid w:val="00901B30"/>
    <w:rsid w:val="00906460"/>
    <w:rsid w:val="009101A0"/>
    <w:rsid w:val="0091338B"/>
    <w:rsid w:val="00914A9E"/>
    <w:rsid w:val="00915258"/>
    <w:rsid w:val="00915E5F"/>
    <w:rsid w:val="009161E2"/>
    <w:rsid w:val="00917669"/>
    <w:rsid w:val="009176E2"/>
    <w:rsid w:val="00920E8A"/>
    <w:rsid w:val="009225D5"/>
    <w:rsid w:val="00923257"/>
    <w:rsid w:val="0092430C"/>
    <w:rsid w:val="009244D6"/>
    <w:rsid w:val="00926BE6"/>
    <w:rsid w:val="00930376"/>
    <w:rsid w:val="0093062F"/>
    <w:rsid w:val="00931438"/>
    <w:rsid w:val="00932960"/>
    <w:rsid w:val="00934EB3"/>
    <w:rsid w:val="00935D6B"/>
    <w:rsid w:val="00936840"/>
    <w:rsid w:val="00940ED4"/>
    <w:rsid w:val="009412D9"/>
    <w:rsid w:val="009509E1"/>
    <w:rsid w:val="00951590"/>
    <w:rsid w:val="00952F57"/>
    <w:rsid w:val="00953604"/>
    <w:rsid w:val="00953A3F"/>
    <w:rsid w:val="00954B87"/>
    <w:rsid w:val="009558F3"/>
    <w:rsid w:val="0096162E"/>
    <w:rsid w:val="009618B6"/>
    <w:rsid w:val="00962403"/>
    <w:rsid w:val="009648B1"/>
    <w:rsid w:val="00965435"/>
    <w:rsid w:val="00965F5D"/>
    <w:rsid w:val="0097011A"/>
    <w:rsid w:val="00970C77"/>
    <w:rsid w:val="00971791"/>
    <w:rsid w:val="009802B9"/>
    <w:rsid w:val="0098224A"/>
    <w:rsid w:val="0098370A"/>
    <w:rsid w:val="009845E5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432D"/>
    <w:rsid w:val="009A7016"/>
    <w:rsid w:val="009A73C2"/>
    <w:rsid w:val="009B167E"/>
    <w:rsid w:val="009B6482"/>
    <w:rsid w:val="009B70DE"/>
    <w:rsid w:val="009B7502"/>
    <w:rsid w:val="009C2342"/>
    <w:rsid w:val="009C2CA6"/>
    <w:rsid w:val="009C2EAC"/>
    <w:rsid w:val="009C38A1"/>
    <w:rsid w:val="009C3EE8"/>
    <w:rsid w:val="009C52D8"/>
    <w:rsid w:val="009D072B"/>
    <w:rsid w:val="009D0C85"/>
    <w:rsid w:val="009D3B86"/>
    <w:rsid w:val="009D5973"/>
    <w:rsid w:val="009D5AA4"/>
    <w:rsid w:val="009D6043"/>
    <w:rsid w:val="009E011B"/>
    <w:rsid w:val="009E21C9"/>
    <w:rsid w:val="009E3DF3"/>
    <w:rsid w:val="009E40E4"/>
    <w:rsid w:val="009E6CBA"/>
    <w:rsid w:val="009E749C"/>
    <w:rsid w:val="009E7899"/>
    <w:rsid w:val="009E7C4F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3A5B"/>
    <w:rsid w:val="00A144BE"/>
    <w:rsid w:val="00A2078E"/>
    <w:rsid w:val="00A215E1"/>
    <w:rsid w:val="00A21810"/>
    <w:rsid w:val="00A232EB"/>
    <w:rsid w:val="00A27223"/>
    <w:rsid w:val="00A2778E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64DA5"/>
    <w:rsid w:val="00A70132"/>
    <w:rsid w:val="00A70E27"/>
    <w:rsid w:val="00A80677"/>
    <w:rsid w:val="00A84933"/>
    <w:rsid w:val="00A851C1"/>
    <w:rsid w:val="00A86A6E"/>
    <w:rsid w:val="00A90D63"/>
    <w:rsid w:val="00A91A46"/>
    <w:rsid w:val="00A974C8"/>
    <w:rsid w:val="00AA17C0"/>
    <w:rsid w:val="00AA2FA7"/>
    <w:rsid w:val="00AA3937"/>
    <w:rsid w:val="00AA4482"/>
    <w:rsid w:val="00AA6B1C"/>
    <w:rsid w:val="00AA7A5C"/>
    <w:rsid w:val="00AB0930"/>
    <w:rsid w:val="00AB21E4"/>
    <w:rsid w:val="00AB44C8"/>
    <w:rsid w:val="00AB68A1"/>
    <w:rsid w:val="00AC05B2"/>
    <w:rsid w:val="00AD06B7"/>
    <w:rsid w:val="00AE05AB"/>
    <w:rsid w:val="00AE3B96"/>
    <w:rsid w:val="00AE55A4"/>
    <w:rsid w:val="00AE5A01"/>
    <w:rsid w:val="00AE6245"/>
    <w:rsid w:val="00AE6FE1"/>
    <w:rsid w:val="00AF06A9"/>
    <w:rsid w:val="00AF214D"/>
    <w:rsid w:val="00AF24FF"/>
    <w:rsid w:val="00AF5A72"/>
    <w:rsid w:val="00AF7C6C"/>
    <w:rsid w:val="00B0547D"/>
    <w:rsid w:val="00B0698E"/>
    <w:rsid w:val="00B115B9"/>
    <w:rsid w:val="00B11AFB"/>
    <w:rsid w:val="00B143C3"/>
    <w:rsid w:val="00B14AE7"/>
    <w:rsid w:val="00B1779D"/>
    <w:rsid w:val="00B17E8C"/>
    <w:rsid w:val="00B21060"/>
    <w:rsid w:val="00B2564B"/>
    <w:rsid w:val="00B307C1"/>
    <w:rsid w:val="00B31108"/>
    <w:rsid w:val="00B339F2"/>
    <w:rsid w:val="00B35585"/>
    <w:rsid w:val="00B3724B"/>
    <w:rsid w:val="00B40211"/>
    <w:rsid w:val="00B43005"/>
    <w:rsid w:val="00B45AB8"/>
    <w:rsid w:val="00B45D06"/>
    <w:rsid w:val="00B479CF"/>
    <w:rsid w:val="00B539A3"/>
    <w:rsid w:val="00B540E5"/>
    <w:rsid w:val="00B55CE1"/>
    <w:rsid w:val="00B55DFD"/>
    <w:rsid w:val="00B61386"/>
    <w:rsid w:val="00B62DF8"/>
    <w:rsid w:val="00B71632"/>
    <w:rsid w:val="00B77785"/>
    <w:rsid w:val="00B7785D"/>
    <w:rsid w:val="00B80C6B"/>
    <w:rsid w:val="00B81887"/>
    <w:rsid w:val="00B81CA0"/>
    <w:rsid w:val="00B86011"/>
    <w:rsid w:val="00B87B80"/>
    <w:rsid w:val="00B91892"/>
    <w:rsid w:val="00B918E5"/>
    <w:rsid w:val="00B91A07"/>
    <w:rsid w:val="00B91CCC"/>
    <w:rsid w:val="00B9284E"/>
    <w:rsid w:val="00B94946"/>
    <w:rsid w:val="00B95049"/>
    <w:rsid w:val="00B96012"/>
    <w:rsid w:val="00B97413"/>
    <w:rsid w:val="00B97E13"/>
    <w:rsid w:val="00BA0E81"/>
    <w:rsid w:val="00BA21E2"/>
    <w:rsid w:val="00BA6914"/>
    <w:rsid w:val="00BB2688"/>
    <w:rsid w:val="00BC0A8E"/>
    <w:rsid w:val="00BC4BDE"/>
    <w:rsid w:val="00BC724E"/>
    <w:rsid w:val="00BD5169"/>
    <w:rsid w:val="00BD631C"/>
    <w:rsid w:val="00BD71F3"/>
    <w:rsid w:val="00BD75F6"/>
    <w:rsid w:val="00BE16B5"/>
    <w:rsid w:val="00BE47ED"/>
    <w:rsid w:val="00BE5D7C"/>
    <w:rsid w:val="00BF47A5"/>
    <w:rsid w:val="00BF4B1A"/>
    <w:rsid w:val="00C01EB1"/>
    <w:rsid w:val="00C02706"/>
    <w:rsid w:val="00C027C9"/>
    <w:rsid w:val="00C0576F"/>
    <w:rsid w:val="00C11B2C"/>
    <w:rsid w:val="00C123F4"/>
    <w:rsid w:val="00C15B9E"/>
    <w:rsid w:val="00C33729"/>
    <w:rsid w:val="00C36B20"/>
    <w:rsid w:val="00C41932"/>
    <w:rsid w:val="00C52CE9"/>
    <w:rsid w:val="00C55611"/>
    <w:rsid w:val="00C61C8C"/>
    <w:rsid w:val="00C61FF9"/>
    <w:rsid w:val="00C6424E"/>
    <w:rsid w:val="00C709FA"/>
    <w:rsid w:val="00C71E5F"/>
    <w:rsid w:val="00C72B7D"/>
    <w:rsid w:val="00C73993"/>
    <w:rsid w:val="00C77AAB"/>
    <w:rsid w:val="00C832FF"/>
    <w:rsid w:val="00C84B45"/>
    <w:rsid w:val="00C84E8E"/>
    <w:rsid w:val="00C86C19"/>
    <w:rsid w:val="00C871D7"/>
    <w:rsid w:val="00C92117"/>
    <w:rsid w:val="00C95528"/>
    <w:rsid w:val="00C9768F"/>
    <w:rsid w:val="00CA0AF5"/>
    <w:rsid w:val="00CA0FDC"/>
    <w:rsid w:val="00CA20D4"/>
    <w:rsid w:val="00CA3EDE"/>
    <w:rsid w:val="00CA70AA"/>
    <w:rsid w:val="00CA7DB4"/>
    <w:rsid w:val="00CB1A24"/>
    <w:rsid w:val="00CB591B"/>
    <w:rsid w:val="00CB664D"/>
    <w:rsid w:val="00CB7525"/>
    <w:rsid w:val="00CB7EE5"/>
    <w:rsid w:val="00CC09D9"/>
    <w:rsid w:val="00CC0F15"/>
    <w:rsid w:val="00CC3300"/>
    <w:rsid w:val="00CC4102"/>
    <w:rsid w:val="00CC5EA5"/>
    <w:rsid w:val="00CC6757"/>
    <w:rsid w:val="00CC79C3"/>
    <w:rsid w:val="00CC7A62"/>
    <w:rsid w:val="00CD171D"/>
    <w:rsid w:val="00CD3DDF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0B44"/>
    <w:rsid w:val="00D31170"/>
    <w:rsid w:val="00D324B0"/>
    <w:rsid w:val="00D37640"/>
    <w:rsid w:val="00D41DF4"/>
    <w:rsid w:val="00D453BE"/>
    <w:rsid w:val="00D47367"/>
    <w:rsid w:val="00D54B57"/>
    <w:rsid w:val="00D54F5F"/>
    <w:rsid w:val="00D55064"/>
    <w:rsid w:val="00D61A1F"/>
    <w:rsid w:val="00D61B52"/>
    <w:rsid w:val="00D62309"/>
    <w:rsid w:val="00D62DD2"/>
    <w:rsid w:val="00D63362"/>
    <w:rsid w:val="00D640F0"/>
    <w:rsid w:val="00D671F4"/>
    <w:rsid w:val="00D679EC"/>
    <w:rsid w:val="00D7210B"/>
    <w:rsid w:val="00D74230"/>
    <w:rsid w:val="00D7432D"/>
    <w:rsid w:val="00D76664"/>
    <w:rsid w:val="00D77BF5"/>
    <w:rsid w:val="00D77DC6"/>
    <w:rsid w:val="00D834DB"/>
    <w:rsid w:val="00D86A4E"/>
    <w:rsid w:val="00D87DE0"/>
    <w:rsid w:val="00D918DA"/>
    <w:rsid w:val="00D97BAB"/>
    <w:rsid w:val="00D97D1D"/>
    <w:rsid w:val="00DA20A8"/>
    <w:rsid w:val="00DB2BFC"/>
    <w:rsid w:val="00DB3793"/>
    <w:rsid w:val="00DB61BF"/>
    <w:rsid w:val="00DB6CA6"/>
    <w:rsid w:val="00DB7B85"/>
    <w:rsid w:val="00DC0B9E"/>
    <w:rsid w:val="00DC0F9B"/>
    <w:rsid w:val="00DC506B"/>
    <w:rsid w:val="00DC650A"/>
    <w:rsid w:val="00DC7918"/>
    <w:rsid w:val="00DC7E69"/>
    <w:rsid w:val="00DD2459"/>
    <w:rsid w:val="00DD45C4"/>
    <w:rsid w:val="00DD7652"/>
    <w:rsid w:val="00DD7C4A"/>
    <w:rsid w:val="00DE0806"/>
    <w:rsid w:val="00DE0BAC"/>
    <w:rsid w:val="00DE3578"/>
    <w:rsid w:val="00DE35FA"/>
    <w:rsid w:val="00DE3873"/>
    <w:rsid w:val="00DE4EC2"/>
    <w:rsid w:val="00DE6A56"/>
    <w:rsid w:val="00DE6EF5"/>
    <w:rsid w:val="00DF0237"/>
    <w:rsid w:val="00DF0C6B"/>
    <w:rsid w:val="00DF26DC"/>
    <w:rsid w:val="00DF29D1"/>
    <w:rsid w:val="00DF3CC2"/>
    <w:rsid w:val="00DF71B9"/>
    <w:rsid w:val="00E02935"/>
    <w:rsid w:val="00E03AB5"/>
    <w:rsid w:val="00E04F41"/>
    <w:rsid w:val="00E0546C"/>
    <w:rsid w:val="00E10CAC"/>
    <w:rsid w:val="00E12BA3"/>
    <w:rsid w:val="00E13FFF"/>
    <w:rsid w:val="00E20876"/>
    <w:rsid w:val="00E220F2"/>
    <w:rsid w:val="00E22912"/>
    <w:rsid w:val="00E272F9"/>
    <w:rsid w:val="00E31458"/>
    <w:rsid w:val="00E3299E"/>
    <w:rsid w:val="00E345FF"/>
    <w:rsid w:val="00E352B1"/>
    <w:rsid w:val="00E3627E"/>
    <w:rsid w:val="00E37F15"/>
    <w:rsid w:val="00E468C2"/>
    <w:rsid w:val="00E504A4"/>
    <w:rsid w:val="00E55027"/>
    <w:rsid w:val="00E55150"/>
    <w:rsid w:val="00E55F80"/>
    <w:rsid w:val="00E56CCF"/>
    <w:rsid w:val="00E57BB4"/>
    <w:rsid w:val="00E62846"/>
    <w:rsid w:val="00E62879"/>
    <w:rsid w:val="00E638F1"/>
    <w:rsid w:val="00E70835"/>
    <w:rsid w:val="00E765FC"/>
    <w:rsid w:val="00E804D1"/>
    <w:rsid w:val="00E81329"/>
    <w:rsid w:val="00E81BBD"/>
    <w:rsid w:val="00E83F8E"/>
    <w:rsid w:val="00E84455"/>
    <w:rsid w:val="00E863A3"/>
    <w:rsid w:val="00E872E7"/>
    <w:rsid w:val="00E90306"/>
    <w:rsid w:val="00E9149D"/>
    <w:rsid w:val="00E92117"/>
    <w:rsid w:val="00E93587"/>
    <w:rsid w:val="00EA0200"/>
    <w:rsid w:val="00EA1951"/>
    <w:rsid w:val="00EA35B7"/>
    <w:rsid w:val="00EA3618"/>
    <w:rsid w:val="00EA3EFC"/>
    <w:rsid w:val="00EA4384"/>
    <w:rsid w:val="00EA4976"/>
    <w:rsid w:val="00EA563B"/>
    <w:rsid w:val="00EA5C7C"/>
    <w:rsid w:val="00EA7416"/>
    <w:rsid w:val="00EA7430"/>
    <w:rsid w:val="00EA7F44"/>
    <w:rsid w:val="00EB1078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D6931"/>
    <w:rsid w:val="00EE06D2"/>
    <w:rsid w:val="00EE44D3"/>
    <w:rsid w:val="00EE606B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34C5"/>
    <w:rsid w:val="00F03C9B"/>
    <w:rsid w:val="00F059CE"/>
    <w:rsid w:val="00F07F7A"/>
    <w:rsid w:val="00F10383"/>
    <w:rsid w:val="00F235C4"/>
    <w:rsid w:val="00F24C2A"/>
    <w:rsid w:val="00F24E56"/>
    <w:rsid w:val="00F30629"/>
    <w:rsid w:val="00F31065"/>
    <w:rsid w:val="00F31F6A"/>
    <w:rsid w:val="00F32DBE"/>
    <w:rsid w:val="00F34C8B"/>
    <w:rsid w:val="00F40F63"/>
    <w:rsid w:val="00F414D3"/>
    <w:rsid w:val="00F41B8F"/>
    <w:rsid w:val="00F4354D"/>
    <w:rsid w:val="00F438D3"/>
    <w:rsid w:val="00F44345"/>
    <w:rsid w:val="00F470D6"/>
    <w:rsid w:val="00F520B9"/>
    <w:rsid w:val="00F553CC"/>
    <w:rsid w:val="00F61DC1"/>
    <w:rsid w:val="00F62F2B"/>
    <w:rsid w:val="00F6318F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4276"/>
    <w:rsid w:val="00F950FA"/>
    <w:rsid w:val="00F957F0"/>
    <w:rsid w:val="00F96F68"/>
    <w:rsid w:val="00F97BAE"/>
    <w:rsid w:val="00FA3B55"/>
    <w:rsid w:val="00FA4262"/>
    <w:rsid w:val="00FA6343"/>
    <w:rsid w:val="00FA7FCC"/>
    <w:rsid w:val="00FB0531"/>
    <w:rsid w:val="00FB09EC"/>
    <w:rsid w:val="00FB1C69"/>
    <w:rsid w:val="00FB3326"/>
    <w:rsid w:val="00FB6BE7"/>
    <w:rsid w:val="00FC0476"/>
    <w:rsid w:val="00FC06D2"/>
    <w:rsid w:val="00FC120C"/>
    <w:rsid w:val="00FC1D88"/>
    <w:rsid w:val="00FC6279"/>
    <w:rsid w:val="00FD014B"/>
    <w:rsid w:val="00FD3CCE"/>
    <w:rsid w:val="00FD48A9"/>
    <w:rsid w:val="00FD5BF6"/>
    <w:rsid w:val="00FE674F"/>
    <w:rsid w:val="00FF2204"/>
    <w:rsid w:val="00FF3342"/>
    <w:rsid w:val="00FF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4933D5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3C9A7-78E7-482B-8524-C2C8EFA74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8</Pages>
  <Words>4104</Words>
  <Characters>23395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Исабекова Мадина Тилеубековна</cp:lastModifiedBy>
  <cp:revision>248</cp:revision>
  <cp:lastPrinted>2023-01-19T13:01:00Z</cp:lastPrinted>
  <dcterms:created xsi:type="dcterms:W3CDTF">2022-01-27T05:13:00Z</dcterms:created>
  <dcterms:modified xsi:type="dcterms:W3CDTF">2023-01-27T08:13:00Z</dcterms:modified>
</cp:coreProperties>
</file>